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FBD7F2" w14:textId="3154474F" w:rsidR="005C7872" w:rsidRPr="005C7872" w:rsidRDefault="005C7872" w:rsidP="005C7872">
      <w:pPr>
        <w:pStyle w:val="Heading1"/>
        <w:bidi w:val="0"/>
        <w:spacing w:before="0"/>
        <w:rPr>
          <w:rFonts w:ascii="Meiryo" w:eastAsia="Meiryo" w:hAnsi="Meiryo" w:cs="Meiryo"/>
          <w:color w:val="000000"/>
          <w:sz w:val="28"/>
          <w:szCs w:val="28"/>
        </w:rPr>
      </w:pPr>
      <w:r w:rsidRPr="005C7872">
        <w:rPr>
          <w:rFonts w:ascii="Meiryo" w:eastAsia="Meiryo" w:hAnsi="Meiryo" w:cs="Meiryo" w:hint="eastAsia"/>
          <w:b/>
          <w:bCs/>
          <w:color w:val="000000"/>
          <w:sz w:val="28"/>
          <w:szCs w:val="28"/>
        </w:rPr>
        <w:t>The principle and method of immunoprecipitation (IP)</w:t>
      </w:r>
    </w:p>
    <w:p w14:paraId="432A76E6" w14:textId="4F203B9B" w:rsidR="005C7872" w:rsidRDefault="005C7872" w:rsidP="005C7872">
      <w:pPr>
        <w:bidi w:val="0"/>
        <w:rPr>
          <w:rtl/>
          <w:lang w:bidi="ar-EG"/>
        </w:rPr>
      </w:pPr>
    </w:p>
    <w:p w14:paraId="72471AC8" w14:textId="77777777" w:rsidR="005C7872" w:rsidRPr="005C7872" w:rsidRDefault="005C7872" w:rsidP="005C7872">
      <w:pPr>
        <w:bidi w:val="0"/>
        <w:spacing w:after="225" w:line="240" w:lineRule="auto"/>
        <w:ind w:left="225"/>
        <w:rPr>
          <w:rFonts w:ascii="Meiryo" w:eastAsia="Meiryo" w:hAnsi="Meiryo" w:cs="Meiryo"/>
          <w:color w:val="000000"/>
          <w:sz w:val="20"/>
          <w:szCs w:val="20"/>
        </w:rPr>
      </w:pPr>
      <w:r w:rsidRPr="005C7872">
        <w:rPr>
          <w:rFonts w:ascii="Meiryo" w:eastAsia="Meiryo" w:hAnsi="Meiryo" w:cs="Meiryo" w:hint="eastAsia"/>
          <w:color w:val="000000"/>
          <w:sz w:val="20"/>
          <w:szCs w:val="20"/>
        </w:rPr>
        <w:t>Immunoprecipitation (IP) is a method to isolate a specific antigen from a mixture, using the antigen-antibody interaction. Antigens isolated by IP are analyzed by SDS-PAGE or Western blotting.</w:t>
      </w:r>
    </w:p>
    <w:p w14:paraId="2CDB5CEC" w14:textId="77777777" w:rsidR="005C7872" w:rsidRPr="005C7872" w:rsidRDefault="005C7872" w:rsidP="005C7872">
      <w:pPr>
        <w:bidi w:val="0"/>
        <w:spacing w:after="150" w:line="240" w:lineRule="auto"/>
        <w:ind w:left="120"/>
        <w:outlineLvl w:val="1"/>
        <w:rPr>
          <w:rFonts w:ascii="Meiryo" w:eastAsia="Meiryo" w:hAnsi="Meiryo" w:cs="Meiryo"/>
          <w:b/>
          <w:bCs/>
          <w:color w:val="000000"/>
          <w:sz w:val="24"/>
          <w:szCs w:val="24"/>
        </w:rPr>
      </w:pPr>
      <w:r w:rsidRPr="005C7872">
        <w:rPr>
          <w:rFonts w:ascii="Meiryo" w:eastAsia="Meiryo" w:hAnsi="Meiryo" w:cs="Meiryo" w:hint="eastAsia"/>
          <w:b/>
          <w:bCs/>
          <w:color w:val="000000"/>
          <w:sz w:val="24"/>
          <w:szCs w:val="24"/>
        </w:rPr>
        <w:t>The principle</w:t>
      </w:r>
    </w:p>
    <w:p w14:paraId="7688A3B8" w14:textId="7C305DD5" w:rsidR="005C7872" w:rsidRPr="005C7872" w:rsidRDefault="005C7872" w:rsidP="005C7872">
      <w:pPr>
        <w:bidi w:val="0"/>
        <w:spacing w:after="225" w:line="240" w:lineRule="auto"/>
        <w:ind w:left="225"/>
        <w:rPr>
          <w:rFonts w:ascii="Meiryo" w:eastAsia="Meiryo" w:hAnsi="Meiryo" w:cs="Meiryo"/>
          <w:color w:val="000000"/>
          <w:sz w:val="20"/>
          <w:szCs w:val="20"/>
        </w:rPr>
      </w:pPr>
      <w:r w:rsidRPr="005C7872">
        <w:rPr>
          <w:rFonts w:ascii="Meiryo" w:eastAsia="Meiryo" w:hAnsi="Meiryo" w:cs="Meiryo"/>
          <w:noProof/>
          <w:color w:val="000000"/>
          <w:sz w:val="20"/>
          <w:szCs w:val="20"/>
        </w:rPr>
        <w:drawing>
          <wp:inline distT="0" distB="0" distL="0" distR="0" wp14:anchorId="15587C40" wp14:editId="0028BCFF">
            <wp:extent cx="5324475" cy="3419475"/>
            <wp:effectExtent l="0" t="0" r="0" b="0"/>
            <wp:docPr id="19" name="Picture 19" descr="Principle of 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iple of 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4475" cy="3419475"/>
                    </a:xfrm>
                    <a:prstGeom prst="rect">
                      <a:avLst/>
                    </a:prstGeom>
                    <a:noFill/>
                    <a:ln>
                      <a:noFill/>
                    </a:ln>
                  </pic:spPr>
                </pic:pic>
              </a:graphicData>
            </a:graphic>
          </wp:inline>
        </w:drawing>
      </w:r>
      <w:r w:rsidRPr="005C7872">
        <w:rPr>
          <w:rFonts w:ascii="Meiryo" w:eastAsia="Meiryo" w:hAnsi="Meiryo" w:cs="Meiryo" w:hint="eastAsia"/>
          <w:color w:val="000000"/>
          <w:sz w:val="20"/>
          <w:szCs w:val="20"/>
        </w:rPr>
        <w:br/>
        <w:t xml:space="preserve">In IP, an antibody is added first to a mixture containing an </w:t>
      </w:r>
      <w:proofErr w:type="gramStart"/>
      <w:r w:rsidRPr="005C7872">
        <w:rPr>
          <w:rFonts w:ascii="Meiryo" w:eastAsia="Meiryo" w:hAnsi="Meiryo" w:cs="Meiryo" w:hint="eastAsia"/>
          <w:color w:val="000000"/>
          <w:sz w:val="20"/>
          <w:szCs w:val="20"/>
        </w:rPr>
        <w:t>antigen, and</w:t>
      </w:r>
      <w:proofErr w:type="gramEnd"/>
      <w:r w:rsidRPr="005C7872">
        <w:rPr>
          <w:rFonts w:ascii="Meiryo" w:eastAsia="Meiryo" w:hAnsi="Meiryo" w:cs="Meiryo" w:hint="eastAsia"/>
          <w:color w:val="000000"/>
          <w:sz w:val="20"/>
          <w:szCs w:val="20"/>
        </w:rPr>
        <w:t xml:space="preserve"> incubated to allow antigen-antibody complexes to form.</w:t>
      </w:r>
      <w:r w:rsidRPr="005C7872">
        <w:rPr>
          <w:rFonts w:ascii="Meiryo" w:eastAsia="Meiryo" w:hAnsi="Meiryo" w:cs="Meiryo" w:hint="eastAsia"/>
          <w:color w:val="000000"/>
          <w:sz w:val="20"/>
          <w:szCs w:val="20"/>
        </w:rPr>
        <w:br/>
        <w:t>Subsequently, the antigen-antibody complexes are incubated with an immobilized antibody against the primary antibody (secondary antibody) or with protein A/G-coated beads to allow them to absorb the complexes. </w:t>
      </w:r>
      <w:r w:rsidRPr="005C7872">
        <w:rPr>
          <w:rFonts w:ascii="Meiryo" w:eastAsia="Meiryo" w:hAnsi="Meiryo" w:cs="Meiryo" w:hint="eastAsia"/>
          <w:color w:val="000000"/>
          <w:sz w:val="20"/>
          <w:szCs w:val="20"/>
        </w:rPr>
        <w:br/>
        <w:t>The beads are then thoroughly washed, and the antigen is eluted from the beads by an acidic solution or SDS.</w:t>
      </w:r>
    </w:p>
    <w:p w14:paraId="72FDCFD0" w14:textId="77777777" w:rsidR="005C7872" w:rsidRPr="005C7872" w:rsidRDefault="005C7872" w:rsidP="005C7872">
      <w:pPr>
        <w:bidi w:val="0"/>
        <w:spacing w:after="225" w:line="240" w:lineRule="auto"/>
        <w:ind w:left="225"/>
        <w:rPr>
          <w:rFonts w:ascii="Meiryo" w:eastAsia="Meiryo" w:hAnsi="Meiryo" w:cs="Meiryo"/>
          <w:color w:val="000000"/>
          <w:sz w:val="20"/>
          <w:szCs w:val="20"/>
        </w:rPr>
      </w:pPr>
      <w:r w:rsidRPr="005C7872">
        <w:rPr>
          <w:rFonts w:ascii="Meiryo" w:eastAsia="Meiryo" w:hAnsi="Meiryo" w:cs="Meiryo" w:hint="eastAsia"/>
          <w:color w:val="000000"/>
          <w:sz w:val="20"/>
          <w:szCs w:val="20"/>
        </w:rPr>
        <w:t>If suitable antibody is not available, the target molecule is fused to a His tag or other tags by recombinant DNA techniques, and immunoprecipitated using an antibody to the tag (pull-down assay).</w:t>
      </w:r>
      <w:r w:rsidRPr="005C7872">
        <w:rPr>
          <w:rFonts w:ascii="Meiryo" w:eastAsia="Meiryo" w:hAnsi="Meiryo" w:cs="Meiryo" w:hint="eastAsia"/>
          <w:color w:val="000000"/>
          <w:sz w:val="20"/>
          <w:szCs w:val="20"/>
        </w:rPr>
        <w:br/>
      </w:r>
      <w:hyperlink r:id="rId8" w:history="1">
        <w:r w:rsidRPr="005C7872">
          <w:rPr>
            <w:rFonts w:ascii="Meiryo" w:eastAsia="Meiryo" w:hAnsi="Meiryo" w:cs="Meiryo" w:hint="eastAsia"/>
            <w:color w:val="0078B7"/>
            <w:sz w:val="20"/>
            <w:szCs w:val="20"/>
          </w:rPr>
          <w:t>[Related topics] Pull-down assay experiments using Tagged protein purification kits</w:t>
        </w:r>
      </w:hyperlink>
    </w:p>
    <w:p w14:paraId="0E1A5614" w14:textId="7FE0A882" w:rsidR="005C7872" w:rsidRPr="005C7872" w:rsidRDefault="005C7872" w:rsidP="005C7872">
      <w:pPr>
        <w:bidi w:val="0"/>
        <w:spacing w:after="0" w:line="240" w:lineRule="auto"/>
        <w:rPr>
          <w:rFonts w:ascii="Times New Roman" w:eastAsia="Times New Roman" w:hAnsi="Times New Roman" w:cs="Times New Roman"/>
          <w:sz w:val="24"/>
          <w:szCs w:val="24"/>
        </w:rPr>
      </w:pPr>
    </w:p>
    <w:p w14:paraId="2364E5F4" w14:textId="77777777" w:rsidR="005C7872" w:rsidRPr="005C7872" w:rsidRDefault="005C7872" w:rsidP="005C7872">
      <w:pPr>
        <w:shd w:val="clear" w:color="auto" w:fill="FFFDE8"/>
        <w:bidi w:val="0"/>
        <w:spacing w:after="0" w:line="240" w:lineRule="auto"/>
        <w:rPr>
          <w:rFonts w:ascii="Meiryo" w:eastAsia="Meiryo" w:hAnsi="Meiryo" w:cs="Meiryo"/>
          <w:color w:val="000000"/>
          <w:sz w:val="20"/>
          <w:szCs w:val="20"/>
        </w:rPr>
      </w:pPr>
      <w:r w:rsidRPr="005C7872">
        <w:rPr>
          <w:rFonts w:ascii="Meiryo" w:eastAsia="Meiryo" w:hAnsi="Meiryo" w:cs="Meiryo" w:hint="eastAsia"/>
          <w:color w:val="000000"/>
          <w:sz w:val="20"/>
          <w:szCs w:val="20"/>
        </w:rPr>
        <w:lastRenderedPageBreak/>
        <w:t>The use of an antibody with high binding specificity and affinity for the antigen is critical for successful IP.</w:t>
      </w:r>
      <w:r w:rsidRPr="005C7872">
        <w:rPr>
          <w:rFonts w:ascii="Meiryo" w:eastAsia="Meiryo" w:hAnsi="Meiryo" w:cs="Meiryo" w:hint="eastAsia"/>
          <w:color w:val="000000"/>
          <w:sz w:val="20"/>
          <w:szCs w:val="20"/>
        </w:rPr>
        <w:br/>
      </w:r>
      <w:r w:rsidRPr="005C7872">
        <w:rPr>
          <w:rFonts w:ascii="Meiryo" w:eastAsia="Meiryo" w:hAnsi="Meiryo" w:cs="Meiryo" w:hint="eastAsia"/>
          <w:color w:val="000000"/>
          <w:sz w:val="20"/>
          <w:szCs w:val="20"/>
        </w:rPr>
        <w:br/>
        <w:t>Antibodies raised against synthetic peptides and recombinant proteins often work well in Western blotting but may not bind the antigens in their native conformation in solution.</w:t>
      </w:r>
      <w:r w:rsidRPr="005C7872">
        <w:rPr>
          <w:rFonts w:ascii="Meiryo" w:eastAsia="Meiryo" w:hAnsi="Meiryo" w:cs="Meiryo" w:hint="eastAsia"/>
          <w:color w:val="000000"/>
          <w:sz w:val="20"/>
          <w:szCs w:val="20"/>
        </w:rPr>
        <w:br/>
      </w:r>
      <w:r w:rsidRPr="005C7872">
        <w:rPr>
          <w:rFonts w:ascii="Meiryo" w:eastAsia="Meiryo" w:hAnsi="Meiryo" w:cs="Meiryo" w:hint="eastAsia"/>
          <w:color w:val="000000"/>
          <w:sz w:val="20"/>
          <w:szCs w:val="20"/>
        </w:rPr>
        <w:br/>
        <w:t>When using commercial antibodies, select the ones that are suitable for IP according to product information. Also recognize the properties of both the antibody and antigen in the literature and product information.</w:t>
      </w:r>
    </w:p>
    <w:p w14:paraId="70D68D51" w14:textId="77777777" w:rsidR="005C7872" w:rsidRPr="005C7872" w:rsidRDefault="005C7872" w:rsidP="005C7872">
      <w:pPr>
        <w:bidi w:val="0"/>
        <w:spacing w:after="225" w:line="240" w:lineRule="auto"/>
        <w:ind w:left="225"/>
        <w:rPr>
          <w:rFonts w:ascii="Meiryo" w:eastAsia="Meiryo" w:hAnsi="Meiryo" w:cs="Meiryo"/>
          <w:color w:val="000000"/>
          <w:sz w:val="20"/>
          <w:szCs w:val="20"/>
        </w:rPr>
      </w:pPr>
    </w:p>
    <w:p w14:paraId="71F847CC" w14:textId="77777777" w:rsidR="005C7872" w:rsidRPr="005C7872" w:rsidRDefault="005C7872" w:rsidP="005C7872">
      <w:pPr>
        <w:bidi w:val="0"/>
        <w:spacing w:after="150" w:line="240" w:lineRule="auto"/>
        <w:ind w:left="120"/>
        <w:outlineLvl w:val="2"/>
        <w:rPr>
          <w:rFonts w:ascii="Meiryo" w:eastAsia="Meiryo" w:hAnsi="Meiryo" w:cs="Meiryo"/>
          <w:b/>
          <w:bCs/>
          <w:color w:val="000000"/>
          <w:sz w:val="21"/>
          <w:szCs w:val="21"/>
        </w:rPr>
      </w:pPr>
      <w:r w:rsidRPr="005C7872">
        <w:rPr>
          <w:rFonts w:ascii="Meiryo" w:eastAsia="Meiryo" w:hAnsi="Meiryo" w:cs="Meiryo" w:hint="eastAsia"/>
          <w:b/>
          <w:bCs/>
          <w:color w:val="000000"/>
          <w:sz w:val="21"/>
          <w:szCs w:val="21"/>
        </w:rPr>
        <w:t>Tips for efficient IP</w:t>
      </w:r>
    </w:p>
    <w:p w14:paraId="5CE74230" w14:textId="77777777" w:rsidR="005C7872" w:rsidRPr="005C7872" w:rsidRDefault="005C7872" w:rsidP="005C7872">
      <w:pPr>
        <w:bidi w:val="0"/>
        <w:spacing w:after="225" w:line="240" w:lineRule="auto"/>
        <w:ind w:left="225"/>
        <w:rPr>
          <w:rFonts w:ascii="Meiryo" w:eastAsia="Meiryo" w:hAnsi="Meiryo" w:cs="Meiryo"/>
          <w:color w:val="000000"/>
          <w:sz w:val="20"/>
          <w:szCs w:val="20"/>
        </w:rPr>
      </w:pPr>
      <w:r w:rsidRPr="005C7872">
        <w:rPr>
          <w:rFonts w:ascii="Meiryo" w:eastAsia="Meiryo" w:hAnsi="Meiryo" w:cs="Meiryo" w:hint="eastAsia"/>
          <w:color w:val="000000"/>
          <w:sz w:val="20"/>
          <w:szCs w:val="20"/>
        </w:rPr>
        <w:t>The diagram on the right illustrates the structures of antigen-antibody complexes formed with a monoclonal versus polyclonal antibody as the primary antibody.</w:t>
      </w:r>
    </w:p>
    <w:p w14:paraId="2EE306A0" w14:textId="75155EF6" w:rsidR="005C7872" w:rsidRPr="005C7872" w:rsidRDefault="005C7872" w:rsidP="005C7872">
      <w:pPr>
        <w:bidi w:val="0"/>
        <w:spacing w:after="225" w:line="240" w:lineRule="auto"/>
        <w:ind w:left="225"/>
        <w:rPr>
          <w:rFonts w:ascii="Meiryo" w:eastAsia="Meiryo" w:hAnsi="Meiryo" w:cs="Meiryo"/>
          <w:color w:val="000000"/>
          <w:sz w:val="20"/>
          <w:szCs w:val="20"/>
        </w:rPr>
      </w:pPr>
      <w:r w:rsidRPr="005C7872">
        <w:rPr>
          <w:rFonts w:ascii="Meiryo" w:eastAsia="Meiryo" w:hAnsi="Meiryo" w:cs="Meiryo" w:hint="eastAsia"/>
          <w:noProof/>
          <w:color w:val="000000"/>
          <w:sz w:val="20"/>
          <w:szCs w:val="20"/>
        </w:rPr>
        <w:drawing>
          <wp:anchor distT="0" distB="0" distL="0" distR="0" simplePos="0" relativeHeight="251658240" behindDoc="0" locked="0" layoutInCell="1" allowOverlap="0" wp14:anchorId="38A46236" wp14:editId="095DF890">
            <wp:simplePos x="0" y="0"/>
            <wp:positionH relativeFrom="column">
              <wp:align>right</wp:align>
            </wp:positionH>
            <wp:positionV relativeFrom="line">
              <wp:posOffset>0</wp:posOffset>
            </wp:positionV>
            <wp:extent cx="2905125" cy="2038350"/>
            <wp:effectExtent l="0" t="0" r="0" b="0"/>
            <wp:wrapSquare wrapText="bothSides"/>
            <wp:docPr id="20" name="Picture 20" descr="Antigen-antibody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igen-antibody comple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872">
        <w:rPr>
          <w:rFonts w:ascii="Meiryo" w:eastAsia="Meiryo" w:hAnsi="Meiryo" w:cs="Meiryo" w:hint="eastAsia"/>
          <w:color w:val="000000"/>
          <w:sz w:val="20"/>
          <w:szCs w:val="20"/>
        </w:rPr>
        <w:t>When using a monoclonal antibody as the primary antibody, adjust the concentration so that:</w:t>
      </w:r>
      <w:r w:rsidRPr="005C7872">
        <w:rPr>
          <w:rFonts w:ascii="Meiryo" w:eastAsia="Meiryo" w:hAnsi="Meiryo" w:cs="Meiryo" w:hint="eastAsia"/>
          <w:color w:val="000000"/>
          <w:sz w:val="20"/>
          <w:szCs w:val="20"/>
        </w:rPr>
        <w:br/>
      </w:r>
      <w:r w:rsidRPr="005C7872">
        <w:rPr>
          <w:rFonts w:ascii="Meiryo" w:eastAsia="Meiryo" w:hAnsi="Meiryo" w:cs="Meiryo" w:hint="eastAsia"/>
          <w:b/>
          <w:bCs/>
          <w:color w:val="000000"/>
          <w:sz w:val="20"/>
          <w:szCs w:val="20"/>
        </w:rPr>
        <w:t>[secondary antibody] &gt; [primary antibody] &gt; [antigen].</w:t>
      </w:r>
    </w:p>
    <w:p w14:paraId="56820423" w14:textId="77777777" w:rsidR="005C7872" w:rsidRPr="005C7872" w:rsidRDefault="005C7872" w:rsidP="005C7872">
      <w:pPr>
        <w:bidi w:val="0"/>
        <w:spacing w:after="225" w:line="240" w:lineRule="auto"/>
        <w:ind w:left="225"/>
        <w:rPr>
          <w:rFonts w:ascii="Meiryo" w:eastAsia="Meiryo" w:hAnsi="Meiryo" w:cs="Meiryo"/>
          <w:color w:val="000000"/>
          <w:sz w:val="20"/>
          <w:szCs w:val="20"/>
        </w:rPr>
      </w:pPr>
      <w:r w:rsidRPr="005C7872">
        <w:rPr>
          <w:rFonts w:ascii="Meiryo" w:eastAsia="Meiryo" w:hAnsi="Meiryo" w:cs="Meiryo" w:hint="eastAsia"/>
          <w:color w:val="000000"/>
          <w:sz w:val="20"/>
          <w:szCs w:val="20"/>
        </w:rPr>
        <w:t>An excess of primary antibody, relative to the secondary antibody, may compete with antigen-antibody complexes for the secondary antibody, resulting in a lower yield of recovery.</w:t>
      </w:r>
    </w:p>
    <w:p w14:paraId="54E58EA7" w14:textId="77777777" w:rsidR="005C7872" w:rsidRPr="005C7872" w:rsidRDefault="005C7872" w:rsidP="005C7872">
      <w:pPr>
        <w:bidi w:val="0"/>
        <w:spacing w:after="225" w:line="240" w:lineRule="auto"/>
        <w:ind w:left="225"/>
        <w:rPr>
          <w:rFonts w:ascii="Meiryo" w:eastAsia="Meiryo" w:hAnsi="Meiryo" w:cs="Meiryo"/>
          <w:color w:val="000000"/>
          <w:sz w:val="20"/>
          <w:szCs w:val="20"/>
        </w:rPr>
      </w:pPr>
      <w:r w:rsidRPr="005C7872">
        <w:rPr>
          <w:rFonts w:ascii="Meiryo" w:eastAsia="Meiryo" w:hAnsi="Meiryo" w:cs="Meiryo" w:hint="eastAsia"/>
          <w:color w:val="000000"/>
          <w:sz w:val="20"/>
          <w:szCs w:val="20"/>
        </w:rPr>
        <w:t>When using a polyclonal antibody, </w:t>
      </w:r>
      <w:r w:rsidRPr="005C7872">
        <w:rPr>
          <w:rFonts w:ascii="Meiryo" w:eastAsia="Meiryo" w:hAnsi="Meiryo" w:cs="Meiryo" w:hint="eastAsia"/>
          <w:color w:val="000000"/>
          <w:sz w:val="20"/>
          <w:szCs w:val="20"/>
          <w:u w:val="single"/>
        </w:rPr>
        <w:t>an excess of primary antibody, relative to the antigen, will prevent the formation of oligomeric complexes</w:t>
      </w:r>
      <w:r w:rsidRPr="005C7872">
        <w:rPr>
          <w:rFonts w:ascii="Meiryo" w:eastAsia="Meiryo" w:hAnsi="Meiryo" w:cs="Meiryo" w:hint="eastAsia"/>
          <w:color w:val="000000"/>
          <w:sz w:val="20"/>
          <w:szCs w:val="20"/>
        </w:rPr>
        <w:t>. Therefore, these concentrations should be optimized by testing different ratios.</w:t>
      </w:r>
    </w:p>
    <w:p w14:paraId="059E71A4" w14:textId="77777777" w:rsidR="005C7872" w:rsidRPr="005C7872" w:rsidRDefault="005C7872" w:rsidP="005C7872">
      <w:pPr>
        <w:bidi w:val="0"/>
        <w:spacing w:after="0" w:line="240" w:lineRule="auto"/>
        <w:rPr>
          <w:rFonts w:ascii="Times New Roman" w:eastAsia="Times New Roman" w:hAnsi="Times New Roman" w:cs="Times New Roman"/>
          <w:sz w:val="24"/>
          <w:szCs w:val="24"/>
        </w:rPr>
      </w:pPr>
      <w:r w:rsidRPr="005C7872">
        <w:rPr>
          <w:rFonts w:ascii="Meiryo" w:eastAsia="Meiryo" w:hAnsi="Meiryo" w:cs="Meiryo" w:hint="eastAsia"/>
          <w:color w:val="000000"/>
          <w:sz w:val="27"/>
          <w:szCs w:val="27"/>
        </w:rPr>
        <w:br w:type="textWrapping" w:clear="all"/>
      </w:r>
    </w:p>
    <w:tbl>
      <w:tblPr>
        <w:tblW w:w="10410" w:type="dxa"/>
        <w:tblBorders>
          <w:top w:val="single" w:sz="6" w:space="0" w:color="E3E3E3"/>
          <w:left w:val="single" w:sz="6" w:space="0" w:color="E3E3E3"/>
          <w:bottom w:val="single" w:sz="6" w:space="0" w:color="E3E3E3"/>
          <w:right w:val="single" w:sz="6" w:space="0" w:color="E3E3E3"/>
        </w:tblBorders>
        <w:tblCellMar>
          <w:left w:w="0" w:type="dxa"/>
          <w:right w:w="0" w:type="dxa"/>
        </w:tblCellMar>
        <w:tblLook w:val="04A0" w:firstRow="1" w:lastRow="0" w:firstColumn="1" w:lastColumn="0" w:noHBand="0" w:noVBand="1"/>
      </w:tblPr>
      <w:tblGrid>
        <w:gridCol w:w="1101"/>
        <w:gridCol w:w="4654"/>
        <w:gridCol w:w="4655"/>
      </w:tblGrid>
      <w:tr w:rsidR="005C7872" w:rsidRPr="005C7872" w14:paraId="31DAB00D" w14:textId="77777777" w:rsidTr="005C7872">
        <w:tc>
          <w:tcPr>
            <w:tcW w:w="0" w:type="auto"/>
            <w:gridSpan w:val="3"/>
            <w:tcBorders>
              <w:top w:val="nil"/>
              <w:left w:val="nil"/>
              <w:bottom w:val="nil"/>
              <w:right w:val="nil"/>
            </w:tcBorders>
            <w:shd w:val="clear" w:color="auto" w:fill="66CCFF"/>
            <w:tcMar>
              <w:top w:w="75" w:type="dxa"/>
              <w:left w:w="75" w:type="dxa"/>
              <w:bottom w:w="75" w:type="dxa"/>
              <w:right w:w="75" w:type="dxa"/>
            </w:tcMar>
            <w:vAlign w:val="center"/>
            <w:hideMark/>
          </w:tcPr>
          <w:p w14:paraId="2A7A534E" w14:textId="77777777" w:rsidR="005C7872" w:rsidRPr="005C7872" w:rsidRDefault="005C7872" w:rsidP="005C7872">
            <w:pPr>
              <w:bidi w:val="0"/>
              <w:spacing w:after="0" w:line="240" w:lineRule="auto"/>
              <w:rPr>
                <w:rFonts w:ascii="Times New Roman" w:eastAsia="Times New Roman" w:hAnsi="Times New Roman" w:cs="Times New Roman"/>
                <w:b/>
                <w:bCs/>
                <w:sz w:val="20"/>
                <w:szCs w:val="20"/>
              </w:rPr>
            </w:pPr>
            <w:r w:rsidRPr="005C7872">
              <w:rPr>
                <w:rFonts w:ascii="Times New Roman" w:eastAsia="Times New Roman" w:hAnsi="Times New Roman" w:cs="Times New Roman"/>
                <w:b/>
                <w:bCs/>
                <w:sz w:val="20"/>
                <w:szCs w:val="20"/>
              </w:rPr>
              <w:t>Comparison of primary antibodies for IP</w:t>
            </w:r>
          </w:p>
        </w:tc>
      </w:tr>
      <w:tr w:rsidR="005C7872" w:rsidRPr="005C7872" w14:paraId="61DB70E6" w14:textId="77777777" w:rsidTr="005C7872">
        <w:tc>
          <w:tcPr>
            <w:tcW w:w="500" w:type="pct"/>
            <w:tcBorders>
              <w:top w:val="single" w:sz="2" w:space="0" w:color="E3E3E3"/>
              <w:left w:val="single" w:sz="6" w:space="0" w:color="E3E3E3"/>
              <w:bottom w:val="single" w:sz="6" w:space="0" w:color="E3E3E3"/>
              <w:right w:val="single" w:sz="2" w:space="0" w:color="E3E3E3"/>
            </w:tcBorders>
            <w:shd w:val="clear" w:color="auto" w:fill="66CCFF"/>
            <w:tcMar>
              <w:top w:w="75" w:type="dxa"/>
              <w:left w:w="75" w:type="dxa"/>
              <w:bottom w:w="75" w:type="dxa"/>
              <w:right w:w="75" w:type="dxa"/>
            </w:tcMar>
            <w:vAlign w:val="center"/>
            <w:hideMark/>
          </w:tcPr>
          <w:p w14:paraId="2DA0BEF6" w14:textId="77777777" w:rsidR="005C7872" w:rsidRPr="005C7872" w:rsidRDefault="005C7872" w:rsidP="005C7872">
            <w:pPr>
              <w:bidi w:val="0"/>
              <w:spacing w:after="0" w:line="240" w:lineRule="auto"/>
              <w:rPr>
                <w:rFonts w:ascii="Times New Roman" w:eastAsia="Times New Roman" w:hAnsi="Times New Roman" w:cs="Times New Roman"/>
                <w:b/>
                <w:bCs/>
                <w:sz w:val="20"/>
                <w:szCs w:val="20"/>
              </w:rPr>
            </w:pPr>
          </w:p>
        </w:tc>
        <w:tc>
          <w:tcPr>
            <w:tcW w:w="2250" w:type="pct"/>
            <w:tcBorders>
              <w:top w:val="single" w:sz="2" w:space="0" w:color="E3E3E3"/>
              <w:left w:val="single" w:sz="6" w:space="0" w:color="E3E3E3"/>
              <w:bottom w:val="single" w:sz="6" w:space="0" w:color="E3E3E3"/>
              <w:right w:val="single" w:sz="2" w:space="0" w:color="E3E3E3"/>
            </w:tcBorders>
            <w:shd w:val="clear" w:color="auto" w:fill="66CCFF"/>
            <w:tcMar>
              <w:top w:w="75" w:type="dxa"/>
              <w:left w:w="75" w:type="dxa"/>
              <w:bottom w:w="75" w:type="dxa"/>
              <w:right w:w="75" w:type="dxa"/>
            </w:tcMar>
            <w:vAlign w:val="center"/>
            <w:hideMark/>
          </w:tcPr>
          <w:p w14:paraId="0ACAADD9" w14:textId="77777777" w:rsidR="005C7872" w:rsidRPr="005C7872" w:rsidRDefault="005C7872" w:rsidP="005C7872">
            <w:pPr>
              <w:bidi w:val="0"/>
              <w:spacing w:after="0" w:line="300" w:lineRule="atLeast"/>
              <w:rPr>
                <w:rFonts w:ascii="Times New Roman" w:eastAsia="Times New Roman" w:hAnsi="Times New Roman" w:cs="Times New Roman"/>
                <w:b/>
                <w:bCs/>
                <w:color w:val="000000"/>
                <w:sz w:val="18"/>
                <w:szCs w:val="18"/>
              </w:rPr>
            </w:pPr>
            <w:r w:rsidRPr="005C7872">
              <w:rPr>
                <w:rFonts w:ascii="Times New Roman" w:eastAsia="Times New Roman" w:hAnsi="Times New Roman" w:cs="Times New Roman"/>
                <w:b/>
                <w:bCs/>
                <w:color w:val="000000"/>
                <w:sz w:val="18"/>
                <w:szCs w:val="18"/>
              </w:rPr>
              <w:t>Monoclonal antibody</w:t>
            </w:r>
          </w:p>
        </w:tc>
        <w:tc>
          <w:tcPr>
            <w:tcW w:w="2250" w:type="pct"/>
            <w:tcBorders>
              <w:top w:val="single" w:sz="2" w:space="0" w:color="E3E3E3"/>
              <w:left w:val="single" w:sz="6" w:space="0" w:color="E3E3E3"/>
              <w:bottom w:val="single" w:sz="6" w:space="0" w:color="E3E3E3"/>
              <w:right w:val="single" w:sz="2" w:space="0" w:color="E3E3E3"/>
            </w:tcBorders>
            <w:shd w:val="clear" w:color="auto" w:fill="66CCFF"/>
            <w:tcMar>
              <w:top w:w="75" w:type="dxa"/>
              <w:left w:w="75" w:type="dxa"/>
              <w:bottom w:w="75" w:type="dxa"/>
              <w:right w:w="75" w:type="dxa"/>
            </w:tcMar>
            <w:vAlign w:val="center"/>
            <w:hideMark/>
          </w:tcPr>
          <w:p w14:paraId="1C7C2671" w14:textId="77777777" w:rsidR="005C7872" w:rsidRPr="005C7872" w:rsidRDefault="005C7872" w:rsidP="005C7872">
            <w:pPr>
              <w:bidi w:val="0"/>
              <w:spacing w:after="0" w:line="300" w:lineRule="atLeast"/>
              <w:rPr>
                <w:rFonts w:ascii="Times New Roman" w:eastAsia="Times New Roman" w:hAnsi="Times New Roman" w:cs="Times New Roman"/>
                <w:b/>
                <w:bCs/>
                <w:color w:val="000000"/>
                <w:sz w:val="18"/>
                <w:szCs w:val="18"/>
              </w:rPr>
            </w:pPr>
            <w:r w:rsidRPr="005C7872">
              <w:rPr>
                <w:rFonts w:ascii="Times New Roman" w:eastAsia="Times New Roman" w:hAnsi="Times New Roman" w:cs="Times New Roman"/>
                <w:b/>
                <w:bCs/>
                <w:color w:val="000000"/>
                <w:sz w:val="18"/>
                <w:szCs w:val="18"/>
              </w:rPr>
              <w:t>Polyclonal antibody</w:t>
            </w:r>
          </w:p>
        </w:tc>
      </w:tr>
      <w:tr w:rsidR="005C7872" w:rsidRPr="005C7872" w14:paraId="6C45B2D5" w14:textId="77777777" w:rsidTr="005C7872">
        <w:tc>
          <w:tcPr>
            <w:tcW w:w="0" w:type="auto"/>
            <w:shd w:val="clear" w:color="auto" w:fill="DCF4FF"/>
            <w:tcMar>
              <w:top w:w="45" w:type="dxa"/>
              <w:left w:w="75" w:type="dxa"/>
              <w:bottom w:w="45" w:type="dxa"/>
              <w:right w:w="75" w:type="dxa"/>
            </w:tcMar>
            <w:vAlign w:val="center"/>
            <w:hideMark/>
          </w:tcPr>
          <w:p w14:paraId="3A871C12"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lastRenderedPageBreak/>
              <w:t>Background</w:t>
            </w:r>
          </w:p>
        </w:tc>
        <w:tc>
          <w:tcPr>
            <w:tcW w:w="0" w:type="auto"/>
            <w:shd w:val="clear" w:color="auto" w:fill="DCF4FF"/>
            <w:tcMar>
              <w:top w:w="45" w:type="dxa"/>
              <w:left w:w="75" w:type="dxa"/>
              <w:bottom w:w="45" w:type="dxa"/>
              <w:right w:w="75" w:type="dxa"/>
            </w:tcMar>
            <w:vAlign w:val="center"/>
            <w:hideMark/>
          </w:tcPr>
          <w:p w14:paraId="6C4CA352"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Background is low with an appropriate antibody because the antibody recognizes a single antigen.</w:t>
            </w:r>
          </w:p>
        </w:tc>
        <w:tc>
          <w:tcPr>
            <w:tcW w:w="0" w:type="auto"/>
            <w:shd w:val="clear" w:color="auto" w:fill="DCF4FF"/>
            <w:tcMar>
              <w:top w:w="45" w:type="dxa"/>
              <w:left w:w="75" w:type="dxa"/>
              <w:bottom w:w="45" w:type="dxa"/>
              <w:right w:w="75" w:type="dxa"/>
            </w:tcMar>
            <w:vAlign w:val="center"/>
            <w:hideMark/>
          </w:tcPr>
          <w:p w14:paraId="53227740"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Background may be high if some of the antibody molecules have a low specificity and bind to proteins other than the target protein.</w:t>
            </w:r>
          </w:p>
        </w:tc>
      </w:tr>
      <w:tr w:rsidR="005C7872" w:rsidRPr="005C7872" w14:paraId="185EC5B0" w14:textId="77777777" w:rsidTr="005C7872">
        <w:tc>
          <w:tcPr>
            <w:tcW w:w="0" w:type="auto"/>
            <w:shd w:val="clear" w:color="auto" w:fill="DCF4FF"/>
            <w:tcMar>
              <w:top w:w="45" w:type="dxa"/>
              <w:left w:w="75" w:type="dxa"/>
              <w:bottom w:w="45" w:type="dxa"/>
              <w:right w:w="75" w:type="dxa"/>
            </w:tcMar>
            <w:vAlign w:val="center"/>
            <w:hideMark/>
          </w:tcPr>
          <w:p w14:paraId="48EA7463"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Binding affinity</w:t>
            </w:r>
          </w:p>
        </w:tc>
        <w:tc>
          <w:tcPr>
            <w:tcW w:w="0" w:type="auto"/>
            <w:shd w:val="clear" w:color="auto" w:fill="DCF4FF"/>
            <w:tcMar>
              <w:top w:w="45" w:type="dxa"/>
              <w:left w:w="75" w:type="dxa"/>
              <w:bottom w:w="45" w:type="dxa"/>
              <w:right w:w="75" w:type="dxa"/>
            </w:tcMar>
            <w:vAlign w:val="center"/>
            <w:hideMark/>
          </w:tcPr>
          <w:p w14:paraId="657FE017"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 xml:space="preserve">High-affinity monoclonal antibody (dissociation constant </w:t>
            </w:r>
            <w:proofErr w:type="spellStart"/>
            <w:r w:rsidRPr="005C7872">
              <w:rPr>
                <w:rFonts w:ascii="Times New Roman" w:eastAsia="Times New Roman" w:hAnsi="Times New Roman" w:cs="Times New Roman"/>
                <w:b/>
                <w:bCs/>
                <w:sz w:val="18"/>
                <w:szCs w:val="18"/>
              </w:rPr>
              <w:t>K</w:t>
            </w:r>
            <w:r w:rsidRPr="005C7872">
              <w:rPr>
                <w:rFonts w:ascii="Times New Roman" w:eastAsia="Times New Roman" w:hAnsi="Times New Roman" w:cs="Times New Roman"/>
                <w:b/>
                <w:bCs/>
                <w:sz w:val="18"/>
                <w:szCs w:val="18"/>
                <w:vertAlign w:val="subscript"/>
              </w:rPr>
              <w:t>d</w:t>
            </w:r>
            <w:proofErr w:type="spellEnd"/>
            <w:r w:rsidRPr="005C7872">
              <w:rPr>
                <w:rFonts w:ascii="Times New Roman" w:eastAsia="Times New Roman" w:hAnsi="Times New Roman" w:cs="Times New Roman"/>
                <w:b/>
                <w:bCs/>
                <w:sz w:val="18"/>
                <w:szCs w:val="18"/>
              </w:rPr>
              <w:t>&lt;10</w:t>
            </w:r>
            <w:r w:rsidRPr="005C7872">
              <w:rPr>
                <w:rFonts w:ascii="Times New Roman" w:eastAsia="Times New Roman" w:hAnsi="Times New Roman" w:cs="Times New Roman"/>
                <w:b/>
                <w:bCs/>
                <w:sz w:val="18"/>
                <w:szCs w:val="18"/>
                <w:vertAlign w:val="superscript"/>
              </w:rPr>
              <w:t>-8</w:t>
            </w:r>
            <w:r w:rsidRPr="005C7872">
              <w:rPr>
                <w:rFonts w:ascii="Times New Roman" w:eastAsia="Times New Roman" w:hAnsi="Times New Roman" w:cs="Times New Roman"/>
                <w:b/>
                <w:bCs/>
                <w:sz w:val="18"/>
                <w:szCs w:val="18"/>
              </w:rPr>
              <w:t> M) should be used because low affinity antibody may not form an antigen-antibody complex in solution.</w:t>
            </w:r>
          </w:p>
        </w:tc>
        <w:tc>
          <w:tcPr>
            <w:tcW w:w="0" w:type="auto"/>
            <w:shd w:val="clear" w:color="auto" w:fill="DCF4FF"/>
            <w:tcMar>
              <w:top w:w="45" w:type="dxa"/>
              <w:left w:w="75" w:type="dxa"/>
              <w:bottom w:w="45" w:type="dxa"/>
              <w:right w:w="75" w:type="dxa"/>
            </w:tcMar>
            <w:vAlign w:val="center"/>
            <w:hideMark/>
          </w:tcPr>
          <w:p w14:paraId="75C4C24C"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Even if the affinity of individual antibody molecules is low, oligomeric antigen-antibody complexes are formed easily due to the multivalent binding.</w:t>
            </w:r>
          </w:p>
        </w:tc>
      </w:tr>
      <w:tr w:rsidR="005C7872" w:rsidRPr="005C7872" w14:paraId="000380E7" w14:textId="77777777" w:rsidTr="005C7872">
        <w:tc>
          <w:tcPr>
            <w:tcW w:w="0" w:type="auto"/>
            <w:shd w:val="clear" w:color="auto" w:fill="DCF4FF"/>
            <w:tcMar>
              <w:top w:w="45" w:type="dxa"/>
              <w:left w:w="75" w:type="dxa"/>
              <w:bottom w:w="45" w:type="dxa"/>
              <w:right w:w="75" w:type="dxa"/>
            </w:tcMar>
            <w:vAlign w:val="center"/>
            <w:hideMark/>
          </w:tcPr>
          <w:p w14:paraId="06D2AFF5"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Stability of antigen-antibody complexes</w:t>
            </w:r>
          </w:p>
        </w:tc>
        <w:tc>
          <w:tcPr>
            <w:tcW w:w="0" w:type="auto"/>
            <w:shd w:val="clear" w:color="auto" w:fill="DCF4FF"/>
            <w:tcMar>
              <w:top w:w="45" w:type="dxa"/>
              <w:left w:w="75" w:type="dxa"/>
              <w:bottom w:w="45" w:type="dxa"/>
              <w:right w:w="75" w:type="dxa"/>
            </w:tcMar>
            <w:vAlign w:val="center"/>
            <w:hideMark/>
          </w:tcPr>
          <w:p w14:paraId="5BB4F443"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If the binding affinity of an antibody is low, simultaneously using several high-specificity monoclonal antibodies will allow multivalent binding, resulting in stable antigen-antibody complexes.</w:t>
            </w:r>
          </w:p>
        </w:tc>
        <w:tc>
          <w:tcPr>
            <w:tcW w:w="0" w:type="auto"/>
            <w:shd w:val="clear" w:color="auto" w:fill="DCF4FF"/>
            <w:tcMar>
              <w:top w:w="45" w:type="dxa"/>
              <w:left w:w="75" w:type="dxa"/>
              <w:bottom w:w="45" w:type="dxa"/>
              <w:right w:w="75" w:type="dxa"/>
            </w:tcMar>
            <w:vAlign w:val="center"/>
            <w:hideMark/>
          </w:tcPr>
          <w:p w14:paraId="480B9943"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Stable oligomeric complexes are formed because reaction between a polyclonal antibody and an antigen is multivalent.</w:t>
            </w:r>
          </w:p>
        </w:tc>
      </w:tr>
    </w:tbl>
    <w:p w14:paraId="2174BE10" w14:textId="77777777" w:rsidR="005C7872" w:rsidRPr="005C7872" w:rsidRDefault="005C7872" w:rsidP="005C7872">
      <w:pPr>
        <w:bidi w:val="0"/>
        <w:spacing w:after="0" w:line="240" w:lineRule="auto"/>
        <w:rPr>
          <w:rFonts w:ascii="Times New Roman" w:eastAsia="Times New Roman" w:hAnsi="Times New Roman" w:cs="Times New Roman"/>
          <w:sz w:val="24"/>
          <w:szCs w:val="24"/>
        </w:rPr>
      </w:pPr>
      <w:r w:rsidRPr="005C7872">
        <w:rPr>
          <w:rFonts w:ascii="Meiryo" w:eastAsia="Meiryo" w:hAnsi="Meiryo" w:cs="Meiryo" w:hint="eastAsia"/>
          <w:color w:val="000000"/>
          <w:sz w:val="27"/>
          <w:szCs w:val="27"/>
        </w:rPr>
        <w:br w:type="textWrapping" w:clear="all"/>
      </w:r>
    </w:p>
    <w:p w14:paraId="16AC42BC" w14:textId="77777777" w:rsidR="005C7872" w:rsidRPr="005C7872" w:rsidRDefault="005C7872" w:rsidP="005C7872">
      <w:pPr>
        <w:bidi w:val="0"/>
        <w:spacing w:after="150" w:line="240" w:lineRule="auto"/>
        <w:ind w:left="120"/>
        <w:outlineLvl w:val="2"/>
        <w:rPr>
          <w:rFonts w:ascii="Meiryo" w:eastAsia="Meiryo" w:hAnsi="Meiryo" w:cs="Meiryo"/>
          <w:b/>
          <w:bCs/>
          <w:color w:val="000000"/>
          <w:sz w:val="21"/>
          <w:szCs w:val="21"/>
        </w:rPr>
      </w:pPr>
      <w:r w:rsidRPr="005C7872">
        <w:rPr>
          <w:rFonts w:ascii="Meiryo" w:eastAsia="Meiryo" w:hAnsi="Meiryo" w:cs="Meiryo" w:hint="eastAsia"/>
          <w:b/>
          <w:bCs/>
          <w:color w:val="000000"/>
          <w:sz w:val="21"/>
          <w:szCs w:val="21"/>
        </w:rPr>
        <w:t>Beads for immobilization</w:t>
      </w:r>
    </w:p>
    <w:p w14:paraId="6988DC35" w14:textId="77777777" w:rsidR="005C7872" w:rsidRPr="005C7872" w:rsidRDefault="005C7872" w:rsidP="005C7872">
      <w:pPr>
        <w:bidi w:val="0"/>
        <w:spacing w:after="225" w:line="240" w:lineRule="auto"/>
        <w:ind w:left="225"/>
        <w:rPr>
          <w:rFonts w:ascii="Meiryo" w:eastAsia="Meiryo" w:hAnsi="Meiryo" w:cs="Meiryo"/>
          <w:color w:val="000000"/>
          <w:sz w:val="20"/>
          <w:szCs w:val="20"/>
        </w:rPr>
      </w:pPr>
      <w:r w:rsidRPr="005C7872">
        <w:rPr>
          <w:rFonts w:ascii="Meiryo" w:eastAsia="Meiryo" w:hAnsi="Meiryo" w:cs="Meiryo" w:hint="eastAsia"/>
          <w:color w:val="000000"/>
          <w:sz w:val="20"/>
          <w:szCs w:val="20"/>
        </w:rPr>
        <w:t>Agarose beads and magnetic beads are commonly used.</w:t>
      </w:r>
      <w:r w:rsidRPr="005C7872">
        <w:rPr>
          <w:rFonts w:ascii="Meiryo" w:eastAsia="Meiryo" w:hAnsi="Meiryo" w:cs="Meiryo" w:hint="eastAsia"/>
          <w:color w:val="000000"/>
          <w:sz w:val="20"/>
          <w:szCs w:val="20"/>
        </w:rPr>
        <w:br/>
        <w:t>Agarose beads have a porous, mesh-like structure, and antibodies can diffuse and bind to the internal matrix of the beads, which provides high binding capacity.</w:t>
      </w:r>
      <w:r w:rsidRPr="005C7872">
        <w:rPr>
          <w:rFonts w:ascii="Meiryo" w:eastAsia="Meiryo" w:hAnsi="Meiryo" w:cs="Meiryo" w:hint="eastAsia"/>
          <w:color w:val="000000"/>
          <w:sz w:val="20"/>
          <w:szCs w:val="20"/>
        </w:rPr>
        <w:br/>
        <w:t>Magnetic beads are simple spheres, providing ease of handling and short processing time. With appropriate coating, background can be reduced. However, binding capacity may not be high enough for some applications, and the cost is higher than the alternative using agarose beads.</w:t>
      </w:r>
      <w:r w:rsidRPr="005C7872">
        <w:rPr>
          <w:rFonts w:ascii="Meiryo" w:eastAsia="Meiryo" w:hAnsi="Meiryo" w:cs="Meiryo" w:hint="eastAsia"/>
          <w:color w:val="000000"/>
          <w:sz w:val="20"/>
          <w:szCs w:val="20"/>
        </w:rPr>
        <w:br/>
        <w:t>Magnetic agarose beads provide ease of handling (when used with a magnet) and a high binding capacity.</w:t>
      </w:r>
    </w:p>
    <w:tbl>
      <w:tblPr>
        <w:tblW w:w="10410" w:type="dxa"/>
        <w:tblBorders>
          <w:top w:val="single" w:sz="6" w:space="0" w:color="E3E3E3"/>
          <w:left w:val="single" w:sz="6" w:space="0" w:color="E3E3E3"/>
          <w:bottom w:val="single" w:sz="6" w:space="0" w:color="E3E3E3"/>
          <w:right w:val="single" w:sz="6" w:space="0" w:color="E3E3E3"/>
        </w:tblBorders>
        <w:tblCellMar>
          <w:left w:w="0" w:type="dxa"/>
          <w:right w:w="0" w:type="dxa"/>
        </w:tblCellMar>
        <w:tblLook w:val="04A0" w:firstRow="1" w:lastRow="0" w:firstColumn="1" w:lastColumn="0" w:noHBand="0" w:noVBand="1"/>
      </w:tblPr>
      <w:tblGrid>
        <w:gridCol w:w="2602"/>
        <w:gridCol w:w="2602"/>
        <w:gridCol w:w="2603"/>
        <w:gridCol w:w="2603"/>
      </w:tblGrid>
      <w:tr w:rsidR="005C7872" w:rsidRPr="005C7872" w14:paraId="13B928D2" w14:textId="77777777" w:rsidTr="005C7872">
        <w:tc>
          <w:tcPr>
            <w:tcW w:w="0" w:type="auto"/>
            <w:gridSpan w:val="4"/>
            <w:tcBorders>
              <w:top w:val="nil"/>
              <w:left w:val="nil"/>
              <w:bottom w:val="nil"/>
              <w:right w:val="nil"/>
            </w:tcBorders>
            <w:shd w:val="clear" w:color="auto" w:fill="66CCFF"/>
            <w:tcMar>
              <w:top w:w="75" w:type="dxa"/>
              <w:left w:w="75" w:type="dxa"/>
              <w:bottom w:w="75" w:type="dxa"/>
              <w:right w:w="75" w:type="dxa"/>
            </w:tcMar>
            <w:vAlign w:val="center"/>
            <w:hideMark/>
          </w:tcPr>
          <w:p w14:paraId="4274BE66" w14:textId="77777777" w:rsidR="005C7872" w:rsidRPr="005C7872" w:rsidRDefault="005C7872" w:rsidP="005C7872">
            <w:pPr>
              <w:bidi w:val="0"/>
              <w:spacing w:after="0" w:line="240" w:lineRule="auto"/>
              <w:rPr>
                <w:rFonts w:ascii="Times New Roman" w:eastAsia="Times New Roman" w:hAnsi="Times New Roman" w:cs="Times New Roman"/>
                <w:b/>
                <w:bCs/>
                <w:sz w:val="20"/>
                <w:szCs w:val="20"/>
              </w:rPr>
            </w:pPr>
            <w:r w:rsidRPr="005C7872">
              <w:rPr>
                <w:rFonts w:ascii="Times New Roman" w:eastAsia="Times New Roman" w:hAnsi="Times New Roman" w:cs="Times New Roman"/>
                <w:b/>
                <w:bCs/>
                <w:sz w:val="20"/>
                <w:szCs w:val="20"/>
              </w:rPr>
              <w:t>Comparison of beads used for IP</w:t>
            </w:r>
          </w:p>
        </w:tc>
      </w:tr>
      <w:tr w:rsidR="005C7872" w:rsidRPr="005C7872" w14:paraId="420EBA1A" w14:textId="77777777" w:rsidTr="005C7872">
        <w:tc>
          <w:tcPr>
            <w:tcW w:w="1250" w:type="pct"/>
            <w:tcBorders>
              <w:top w:val="single" w:sz="2" w:space="0" w:color="E3E3E3"/>
              <w:left w:val="single" w:sz="6" w:space="0" w:color="E3E3E3"/>
              <w:bottom w:val="single" w:sz="6" w:space="0" w:color="E3E3E3"/>
              <w:right w:val="single" w:sz="2" w:space="0" w:color="E3E3E3"/>
            </w:tcBorders>
            <w:shd w:val="clear" w:color="auto" w:fill="66CCFF"/>
            <w:tcMar>
              <w:top w:w="75" w:type="dxa"/>
              <w:left w:w="75" w:type="dxa"/>
              <w:bottom w:w="75" w:type="dxa"/>
              <w:right w:w="75" w:type="dxa"/>
            </w:tcMar>
            <w:vAlign w:val="center"/>
            <w:hideMark/>
          </w:tcPr>
          <w:p w14:paraId="415FCAFE" w14:textId="77777777" w:rsidR="005C7872" w:rsidRPr="005C7872" w:rsidRDefault="005C7872" w:rsidP="005C7872">
            <w:pPr>
              <w:bidi w:val="0"/>
              <w:spacing w:after="0" w:line="240" w:lineRule="auto"/>
              <w:rPr>
                <w:rFonts w:ascii="Times New Roman" w:eastAsia="Times New Roman" w:hAnsi="Times New Roman" w:cs="Times New Roman"/>
                <w:b/>
                <w:bCs/>
                <w:sz w:val="20"/>
                <w:szCs w:val="20"/>
              </w:rPr>
            </w:pPr>
          </w:p>
        </w:tc>
        <w:tc>
          <w:tcPr>
            <w:tcW w:w="1250" w:type="pct"/>
            <w:tcBorders>
              <w:top w:val="single" w:sz="2" w:space="0" w:color="E3E3E3"/>
              <w:left w:val="single" w:sz="6" w:space="0" w:color="E3E3E3"/>
              <w:bottom w:val="single" w:sz="6" w:space="0" w:color="E3E3E3"/>
              <w:right w:val="single" w:sz="2" w:space="0" w:color="E3E3E3"/>
            </w:tcBorders>
            <w:shd w:val="clear" w:color="auto" w:fill="66CCFF"/>
            <w:tcMar>
              <w:top w:w="75" w:type="dxa"/>
              <w:left w:w="75" w:type="dxa"/>
              <w:bottom w:w="75" w:type="dxa"/>
              <w:right w:w="75" w:type="dxa"/>
            </w:tcMar>
            <w:vAlign w:val="center"/>
            <w:hideMark/>
          </w:tcPr>
          <w:p w14:paraId="12FB4FC9" w14:textId="77777777" w:rsidR="005C7872" w:rsidRPr="005C7872" w:rsidRDefault="005C7872" w:rsidP="005C7872">
            <w:pPr>
              <w:bidi w:val="0"/>
              <w:spacing w:after="0" w:line="300" w:lineRule="atLeast"/>
              <w:rPr>
                <w:rFonts w:ascii="Times New Roman" w:eastAsia="Times New Roman" w:hAnsi="Times New Roman" w:cs="Times New Roman"/>
                <w:b/>
                <w:bCs/>
                <w:color w:val="000000"/>
                <w:sz w:val="18"/>
                <w:szCs w:val="18"/>
              </w:rPr>
            </w:pPr>
            <w:r w:rsidRPr="005C7872">
              <w:rPr>
                <w:rFonts w:ascii="Times New Roman" w:eastAsia="Times New Roman" w:hAnsi="Times New Roman" w:cs="Times New Roman"/>
                <w:b/>
                <w:bCs/>
                <w:color w:val="000000"/>
                <w:sz w:val="18"/>
                <w:szCs w:val="18"/>
              </w:rPr>
              <w:t>Agarose beads</w:t>
            </w:r>
          </w:p>
        </w:tc>
        <w:tc>
          <w:tcPr>
            <w:tcW w:w="1250" w:type="pct"/>
            <w:tcBorders>
              <w:top w:val="single" w:sz="2" w:space="0" w:color="E3E3E3"/>
              <w:left w:val="single" w:sz="6" w:space="0" w:color="E3E3E3"/>
              <w:bottom w:val="single" w:sz="6" w:space="0" w:color="E3E3E3"/>
              <w:right w:val="single" w:sz="2" w:space="0" w:color="E3E3E3"/>
            </w:tcBorders>
            <w:shd w:val="clear" w:color="auto" w:fill="66CCFF"/>
            <w:tcMar>
              <w:top w:w="75" w:type="dxa"/>
              <w:left w:w="75" w:type="dxa"/>
              <w:bottom w:w="75" w:type="dxa"/>
              <w:right w:w="75" w:type="dxa"/>
            </w:tcMar>
            <w:vAlign w:val="center"/>
            <w:hideMark/>
          </w:tcPr>
          <w:p w14:paraId="4E309FDF" w14:textId="77777777" w:rsidR="005C7872" w:rsidRPr="005C7872" w:rsidRDefault="005C7872" w:rsidP="005C7872">
            <w:pPr>
              <w:bidi w:val="0"/>
              <w:spacing w:after="0" w:line="300" w:lineRule="atLeast"/>
              <w:rPr>
                <w:rFonts w:ascii="Times New Roman" w:eastAsia="Times New Roman" w:hAnsi="Times New Roman" w:cs="Times New Roman"/>
                <w:b/>
                <w:bCs/>
                <w:color w:val="000000"/>
                <w:sz w:val="18"/>
                <w:szCs w:val="18"/>
              </w:rPr>
            </w:pPr>
            <w:r w:rsidRPr="005C7872">
              <w:rPr>
                <w:rFonts w:ascii="Times New Roman" w:eastAsia="Times New Roman" w:hAnsi="Times New Roman" w:cs="Times New Roman"/>
                <w:b/>
                <w:bCs/>
                <w:color w:val="000000"/>
                <w:sz w:val="18"/>
                <w:szCs w:val="18"/>
              </w:rPr>
              <w:t>Magnetic beads</w:t>
            </w:r>
          </w:p>
        </w:tc>
        <w:tc>
          <w:tcPr>
            <w:tcW w:w="1250" w:type="pct"/>
            <w:tcBorders>
              <w:top w:val="single" w:sz="2" w:space="0" w:color="E3E3E3"/>
              <w:left w:val="single" w:sz="6" w:space="0" w:color="E3E3E3"/>
              <w:bottom w:val="single" w:sz="6" w:space="0" w:color="E3E3E3"/>
              <w:right w:val="single" w:sz="2" w:space="0" w:color="E3E3E3"/>
            </w:tcBorders>
            <w:shd w:val="clear" w:color="auto" w:fill="66CCFF"/>
            <w:tcMar>
              <w:top w:w="75" w:type="dxa"/>
              <w:left w:w="75" w:type="dxa"/>
              <w:bottom w:w="75" w:type="dxa"/>
              <w:right w:w="75" w:type="dxa"/>
            </w:tcMar>
            <w:vAlign w:val="center"/>
            <w:hideMark/>
          </w:tcPr>
          <w:p w14:paraId="3A71FD49" w14:textId="77777777" w:rsidR="005C7872" w:rsidRPr="005C7872" w:rsidRDefault="005C7872" w:rsidP="005C7872">
            <w:pPr>
              <w:bidi w:val="0"/>
              <w:spacing w:after="0" w:line="300" w:lineRule="atLeast"/>
              <w:rPr>
                <w:rFonts w:ascii="Times New Roman" w:eastAsia="Times New Roman" w:hAnsi="Times New Roman" w:cs="Times New Roman"/>
                <w:b/>
                <w:bCs/>
                <w:color w:val="000000"/>
                <w:sz w:val="18"/>
                <w:szCs w:val="18"/>
              </w:rPr>
            </w:pPr>
            <w:r w:rsidRPr="005C7872">
              <w:rPr>
                <w:rFonts w:ascii="Times New Roman" w:eastAsia="Times New Roman" w:hAnsi="Times New Roman" w:cs="Times New Roman"/>
                <w:b/>
                <w:bCs/>
                <w:color w:val="000000"/>
                <w:sz w:val="18"/>
                <w:szCs w:val="18"/>
              </w:rPr>
              <w:t>Magnetic agarose beads</w:t>
            </w:r>
          </w:p>
        </w:tc>
      </w:tr>
      <w:tr w:rsidR="005C7872" w:rsidRPr="005C7872" w14:paraId="0930D680" w14:textId="77777777" w:rsidTr="005C7872">
        <w:tc>
          <w:tcPr>
            <w:tcW w:w="0" w:type="auto"/>
            <w:shd w:val="clear" w:color="auto" w:fill="DCF4FF"/>
            <w:tcMar>
              <w:top w:w="45" w:type="dxa"/>
              <w:left w:w="75" w:type="dxa"/>
              <w:bottom w:w="45" w:type="dxa"/>
              <w:right w:w="75" w:type="dxa"/>
            </w:tcMar>
            <w:vAlign w:val="center"/>
            <w:hideMark/>
          </w:tcPr>
          <w:p w14:paraId="4A065674"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Diameter (MBL products)</w:t>
            </w:r>
          </w:p>
        </w:tc>
        <w:tc>
          <w:tcPr>
            <w:tcW w:w="0" w:type="auto"/>
            <w:shd w:val="clear" w:color="auto" w:fill="DCF4FF"/>
            <w:tcMar>
              <w:top w:w="45" w:type="dxa"/>
              <w:left w:w="75" w:type="dxa"/>
              <w:bottom w:w="45" w:type="dxa"/>
              <w:right w:w="75" w:type="dxa"/>
            </w:tcMar>
            <w:vAlign w:val="center"/>
            <w:hideMark/>
          </w:tcPr>
          <w:p w14:paraId="702F8644"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Approx. 100 µm</w:t>
            </w:r>
          </w:p>
        </w:tc>
        <w:tc>
          <w:tcPr>
            <w:tcW w:w="0" w:type="auto"/>
            <w:shd w:val="clear" w:color="auto" w:fill="DCF4FF"/>
            <w:tcMar>
              <w:top w:w="45" w:type="dxa"/>
              <w:left w:w="75" w:type="dxa"/>
              <w:bottom w:w="45" w:type="dxa"/>
              <w:right w:w="75" w:type="dxa"/>
            </w:tcMar>
            <w:vAlign w:val="center"/>
            <w:hideMark/>
          </w:tcPr>
          <w:p w14:paraId="6A3ECEA5"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Approx. 1.6 µm</w:t>
            </w:r>
          </w:p>
        </w:tc>
        <w:tc>
          <w:tcPr>
            <w:tcW w:w="0" w:type="auto"/>
            <w:shd w:val="clear" w:color="auto" w:fill="DCF4FF"/>
            <w:tcMar>
              <w:top w:w="45" w:type="dxa"/>
              <w:left w:w="75" w:type="dxa"/>
              <w:bottom w:w="45" w:type="dxa"/>
              <w:right w:w="75" w:type="dxa"/>
            </w:tcMar>
            <w:vAlign w:val="center"/>
            <w:hideMark/>
          </w:tcPr>
          <w:p w14:paraId="068A782C"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Approx. 50 µm</w:t>
            </w:r>
          </w:p>
        </w:tc>
      </w:tr>
      <w:tr w:rsidR="005C7872" w:rsidRPr="005C7872" w14:paraId="69C1FA95" w14:textId="77777777" w:rsidTr="005C7872">
        <w:tc>
          <w:tcPr>
            <w:tcW w:w="0" w:type="auto"/>
            <w:shd w:val="clear" w:color="auto" w:fill="DCF4FF"/>
            <w:tcMar>
              <w:top w:w="45" w:type="dxa"/>
              <w:left w:w="75" w:type="dxa"/>
              <w:bottom w:w="45" w:type="dxa"/>
              <w:right w:w="75" w:type="dxa"/>
            </w:tcMar>
            <w:vAlign w:val="center"/>
            <w:hideMark/>
          </w:tcPr>
          <w:p w14:paraId="31A1ADEA"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Diagram of the bead structure and antibody coat</w:t>
            </w:r>
          </w:p>
        </w:tc>
        <w:tc>
          <w:tcPr>
            <w:tcW w:w="0" w:type="auto"/>
            <w:shd w:val="clear" w:color="auto" w:fill="DCF4FF"/>
            <w:tcMar>
              <w:top w:w="45" w:type="dxa"/>
              <w:left w:w="75" w:type="dxa"/>
              <w:bottom w:w="45" w:type="dxa"/>
              <w:right w:w="75" w:type="dxa"/>
            </w:tcMar>
            <w:vAlign w:val="center"/>
            <w:hideMark/>
          </w:tcPr>
          <w:p w14:paraId="2299B371" w14:textId="0751AE4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noProof/>
                <w:sz w:val="18"/>
                <w:szCs w:val="18"/>
              </w:rPr>
              <w:drawing>
                <wp:inline distT="0" distB="0" distL="0" distR="0" wp14:anchorId="5AC474EE" wp14:editId="3D2D20D7">
                  <wp:extent cx="1381125" cy="1257300"/>
                  <wp:effectExtent l="0" t="0" r="9525" b="0"/>
                  <wp:docPr id="17" name="Picture 17" descr="http://ruo.mbl.co.jp/bio/product/tag/images/smart-ip/agarose_b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o.mbl.co.jp/bio/product/tag/images/smart-ip/agarose_bead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125" cy="1257300"/>
                          </a:xfrm>
                          <a:prstGeom prst="rect">
                            <a:avLst/>
                          </a:prstGeom>
                          <a:noFill/>
                          <a:ln>
                            <a:noFill/>
                          </a:ln>
                        </pic:spPr>
                      </pic:pic>
                    </a:graphicData>
                  </a:graphic>
                </wp:inline>
              </w:drawing>
            </w:r>
          </w:p>
        </w:tc>
        <w:tc>
          <w:tcPr>
            <w:tcW w:w="0" w:type="auto"/>
            <w:shd w:val="clear" w:color="auto" w:fill="DCF4FF"/>
            <w:tcMar>
              <w:top w:w="45" w:type="dxa"/>
              <w:left w:w="75" w:type="dxa"/>
              <w:bottom w:w="45" w:type="dxa"/>
              <w:right w:w="75" w:type="dxa"/>
            </w:tcMar>
            <w:vAlign w:val="center"/>
            <w:hideMark/>
          </w:tcPr>
          <w:p w14:paraId="7D85A9D3" w14:textId="5EAE7E74"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noProof/>
                <w:sz w:val="18"/>
                <w:szCs w:val="18"/>
              </w:rPr>
              <w:drawing>
                <wp:inline distT="0" distB="0" distL="0" distR="0" wp14:anchorId="3DC6C3E0" wp14:editId="46FC78AE">
                  <wp:extent cx="1381125" cy="1257300"/>
                  <wp:effectExtent l="0" t="0" r="9525" b="0"/>
                  <wp:docPr id="16" name="Picture 16" descr="http://ruo.mbl.co.jp/bio/product/tag/images/smart-ip/magnetic_b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o.mbl.co.jp/bio/product/tag/images/smart-ip/magnetic_bead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125" cy="1257300"/>
                          </a:xfrm>
                          <a:prstGeom prst="rect">
                            <a:avLst/>
                          </a:prstGeom>
                          <a:noFill/>
                          <a:ln>
                            <a:noFill/>
                          </a:ln>
                        </pic:spPr>
                      </pic:pic>
                    </a:graphicData>
                  </a:graphic>
                </wp:inline>
              </w:drawing>
            </w:r>
          </w:p>
        </w:tc>
        <w:tc>
          <w:tcPr>
            <w:tcW w:w="0" w:type="auto"/>
            <w:shd w:val="clear" w:color="auto" w:fill="DCF4FF"/>
            <w:tcMar>
              <w:top w:w="45" w:type="dxa"/>
              <w:left w:w="75" w:type="dxa"/>
              <w:bottom w:w="45" w:type="dxa"/>
              <w:right w:w="75" w:type="dxa"/>
            </w:tcMar>
            <w:vAlign w:val="center"/>
            <w:hideMark/>
          </w:tcPr>
          <w:p w14:paraId="0BD0F133" w14:textId="449A1344"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noProof/>
                <w:sz w:val="18"/>
                <w:szCs w:val="18"/>
              </w:rPr>
              <w:drawing>
                <wp:inline distT="0" distB="0" distL="0" distR="0" wp14:anchorId="0D55340E" wp14:editId="2E4267EF">
                  <wp:extent cx="1428750" cy="1238250"/>
                  <wp:effectExtent l="0" t="0" r="0" b="0"/>
                  <wp:docPr id="15" name="Picture 15" descr="http://ruo.mbl.co.jp/bio/product/tag/images/smart-ip/magnetic_agarose_b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o.mbl.co.jp/bio/product/tag/images/smart-ip/magnetic_agarose_bead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238250"/>
                          </a:xfrm>
                          <a:prstGeom prst="rect">
                            <a:avLst/>
                          </a:prstGeom>
                          <a:noFill/>
                          <a:ln>
                            <a:noFill/>
                          </a:ln>
                        </pic:spPr>
                      </pic:pic>
                    </a:graphicData>
                  </a:graphic>
                </wp:inline>
              </w:drawing>
            </w:r>
          </w:p>
        </w:tc>
      </w:tr>
      <w:tr w:rsidR="005C7872" w:rsidRPr="005C7872" w14:paraId="04C2F7FD" w14:textId="77777777" w:rsidTr="005C7872">
        <w:tc>
          <w:tcPr>
            <w:tcW w:w="0" w:type="auto"/>
            <w:shd w:val="clear" w:color="auto" w:fill="DCF4FF"/>
            <w:tcMar>
              <w:top w:w="45" w:type="dxa"/>
              <w:left w:w="75" w:type="dxa"/>
              <w:bottom w:w="45" w:type="dxa"/>
              <w:right w:w="75" w:type="dxa"/>
            </w:tcMar>
            <w:vAlign w:val="center"/>
            <w:hideMark/>
          </w:tcPr>
          <w:p w14:paraId="51B703CA"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Actual images</w:t>
            </w:r>
          </w:p>
        </w:tc>
        <w:tc>
          <w:tcPr>
            <w:tcW w:w="0" w:type="auto"/>
            <w:shd w:val="clear" w:color="auto" w:fill="DCF4FF"/>
            <w:tcMar>
              <w:top w:w="45" w:type="dxa"/>
              <w:left w:w="75" w:type="dxa"/>
              <w:bottom w:w="45" w:type="dxa"/>
              <w:right w:w="75" w:type="dxa"/>
            </w:tcMar>
            <w:vAlign w:val="center"/>
            <w:hideMark/>
          </w:tcPr>
          <w:p w14:paraId="7519382B" w14:textId="61104E3E"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noProof/>
                <w:sz w:val="18"/>
                <w:szCs w:val="18"/>
              </w:rPr>
              <w:drawing>
                <wp:inline distT="0" distB="0" distL="0" distR="0" wp14:anchorId="18BAC219" wp14:editId="0B29E3AE">
                  <wp:extent cx="952500" cy="1238250"/>
                  <wp:effectExtent l="0" t="0" r="0" b="0"/>
                  <wp:docPr id="14" name="Picture 14" descr="http://ruo.mbl.co.jp/bio/product/tag/images/smart-ip/agarose_beads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uo.mbl.co.jp/bio/product/tag/images/smart-ip/agarose_beads_pi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tc>
        <w:tc>
          <w:tcPr>
            <w:tcW w:w="0" w:type="auto"/>
            <w:shd w:val="clear" w:color="auto" w:fill="DCF4FF"/>
            <w:tcMar>
              <w:top w:w="45" w:type="dxa"/>
              <w:left w:w="75" w:type="dxa"/>
              <w:bottom w:w="45" w:type="dxa"/>
              <w:right w:w="75" w:type="dxa"/>
            </w:tcMar>
            <w:vAlign w:val="center"/>
            <w:hideMark/>
          </w:tcPr>
          <w:p w14:paraId="638CB704" w14:textId="53C03F3B"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noProof/>
                <w:sz w:val="18"/>
                <w:szCs w:val="18"/>
              </w:rPr>
              <w:drawing>
                <wp:inline distT="0" distB="0" distL="0" distR="0" wp14:anchorId="4FB4F7B9" wp14:editId="54DD9594">
                  <wp:extent cx="962025" cy="1285875"/>
                  <wp:effectExtent l="0" t="0" r="9525" b="9525"/>
                  <wp:docPr id="13" name="Picture 13" descr="http://ruo.mbl.co.jp/bio/product/tag/images/smart-ip/magnetic_beads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o.mbl.co.jp/bio/product/tag/images/smart-ip/magnetic_beads_pi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025" cy="1285875"/>
                          </a:xfrm>
                          <a:prstGeom prst="rect">
                            <a:avLst/>
                          </a:prstGeom>
                          <a:noFill/>
                          <a:ln>
                            <a:noFill/>
                          </a:ln>
                        </pic:spPr>
                      </pic:pic>
                    </a:graphicData>
                  </a:graphic>
                </wp:inline>
              </w:drawing>
            </w:r>
          </w:p>
        </w:tc>
        <w:tc>
          <w:tcPr>
            <w:tcW w:w="0" w:type="auto"/>
            <w:shd w:val="clear" w:color="auto" w:fill="DCF4FF"/>
            <w:tcMar>
              <w:top w:w="45" w:type="dxa"/>
              <w:left w:w="75" w:type="dxa"/>
              <w:bottom w:w="45" w:type="dxa"/>
              <w:right w:w="75" w:type="dxa"/>
            </w:tcMar>
            <w:vAlign w:val="center"/>
            <w:hideMark/>
          </w:tcPr>
          <w:p w14:paraId="2855F5C9" w14:textId="1BCD69CC"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noProof/>
                <w:sz w:val="18"/>
                <w:szCs w:val="18"/>
              </w:rPr>
              <w:drawing>
                <wp:inline distT="0" distB="0" distL="0" distR="0" wp14:anchorId="6C904859" wp14:editId="24062BDC">
                  <wp:extent cx="952500" cy="1238250"/>
                  <wp:effectExtent l="0" t="0" r="0" b="0"/>
                  <wp:docPr id="12" name="Picture 12" descr="http://ruo.mbl.co.jp/bio/product/tag/images/smart-ip/magnetic_agarose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uo.mbl.co.jp/bio/product/tag/images/smart-ip/magnetic_agarose_pi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tc>
      </w:tr>
      <w:tr w:rsidR="005C7872" w:rsidRPr="005C7872" w14:paraId="12E92CE4" w14:textId="77777777" w:rsidTr="005C7872">
        <w:tc>
          <w:tcPr>
            <w:tcW w:w="0" w:type="auto"/>
            <w:shd w:val="clear" w:color="auto" w:fill="DCF4FF"/>
            <w:tcMar>
              <w:top w:w="45" w:type="dxa"/>
              <w:left w:w="75" w:type="dxa"/>
              <w:bottom w:w="45" w:type="dxa"/>
              <w:right w:w="75" w:type="dxa"/>
            </w:tcMar>
            <w:vAlign w:val="center"/>
            <w:hideMark/>
          </w:tcPr>
          <w:p w14:paraId="46B061D4"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lastRenderedPageBreak/>
              <w:t>IgG binding capacity per matrix</w:t>
            </w:r>
          </w:p>
        </w:tc>
        <w:tc>
          <w:tcPr>
            <w:tcW w:w="0" w:type="auto"/>
            <w:shd w:val="clear" w:color="auto" w:fill="FAFAD2"/>
            <w:tcMar>
              <w:top w:w="45" w:type="dxa"/>
              <w:left w:w="75" w:type="dxa"/>
              <w:bottom w:w="45" w:type="dxa"/>
              <w:right w:w="75" w:type="dxa"/>
            </w:tcMar>
            <w:vAlign w:val="center"/>
            <w:hideMark/>
          </w:tcPr>
          <w:p w14:paraId="77A5CF57"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High</w:t>
            </w:r>
          </w:p>
        </w:tc>
        <w:tc>
          <w:tcPr>
            <w:tcW w:w="0" w:type="auto"/>
            <w:shd w:val="clear" w:color="auto" w:fill="DCF4FF"/>
            <w:tcMar>
              <w:top w:w="45" w:type="dxa"/>
              <w:left w:w="75" w:type="dxa"/>
              <w:bottom w:w="45" w:type="dxa"/>
              <w:right w:w="75" w:type="dxa"/>
            </w:tcMar>
            <w:vAlign w:val="center"/>
            <w:hideMark/>
          </w:tcPr>
          <w:p w14:paraId="2F1027D4"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Moderate</w:t>
            </w:r>
          </w:p>
        </w:tc>
        <w:tc>
          <w:tcPr>
            <w:tcW w:w="0" w:type="auto"/>
            <w:shd w:val="clear" w:color="auto" w:fill="FAFAD2"/>
            <w:tcMar>
              <w:top w:w="45" w:type="dxa"/>
              <w:left w:w="75" w:type="dxa"/>
              <w:bottom w:w="45" w:type="dxa"/>
              <w:right w:w="75" w:type="dxa"/>
            </w:tcMar>
            <w:vAlign w:val="center"/>
            <w:hideMark/>
          </w:tcPr>
          <w:p w14:paraId="19D4C729"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High</w:t>
            </w:r>
          </w:p>
        </w:tc>
      </w:tr>
      <w:tr w:rsidR="005C7872" w:rsidRPr="005C7872" w14:paraId="2978A913" w14:textId="77777777" w:rsidTr="005C7872">
        <w:tc>
          <w:tcPr>
            <w:tcW w:w="0" w:type="auto"/>
            <w:vAlign w:val="center"/>
            <w:hideMark/>
          </w:tcPr>
          <w:p w14:paraId="166BD4C3"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p>
        </w:tc>
        <w:tc>
          <w:tcPr>
            <w:tcW w:w="0" w:type="auto"/>
            <w:vAlign w:val="center"/>
            <w:hideMark/>
          </w:tcPr>
          <w:p w14:paraId="41CDFD94" w14:textId="77777777" w:rsidR="005C7872" w:rsidRPr="005C7872" w:rsidRDefault="005C7872" w:rsidP="005C7872">
            <w:pPr>
              <w:bidi w:val="0"/>
              <w:spacing w:after="0" w:line="240" w:lineRule="auto"/>
              <w:rPr>
                <w:rFonts w:ascii="Times New Roman" w:eastAsia="Times New Roman" w:hAnsi="Times New Roman" w:cs="Times New Roman"/>
                <w:sz w:val="20"/>
                <w:szCs w:val="20"/>
              </w:rPr>
            </w:pPr>
          </w:p>
        </w:tc>
        <w:tc>
          <w:tcPr>
            <w:tcW w:w="0" w:type="auto"/>
            <w:vAlign w:val="center"/>
            <w:hideMark/>
          </w:tcPr>
          <w:p w14:paraId="1685EE36" w14:textId="77777777" w:rsidR="005C7872" w:rsidRPr="005C7872" w:rsidRDefault="005C7872" w:rsidP="005C7872">
            <w:pPr>
              <w:bidi w:val="0"/>
              <w:spacing w:after="0" w:line="240" w:lineRule="auto"/>
              <w:rPr>
                <w:rFonts w:ascii="Times New Roman" w:eastAsia="Times New Roman" w:hAnsi="Times New Roman" w:cs="Times New Roman"/>
                <w:sz w:val="20"/>
                <w:szCs w:val="20"/>
              </w:rPr>
            </w:pPr>
          </w:p>
        </w:tc>
        <w:tc>
          <w:tcPr>
            <w:tcW w:w="0" w:type="auto"/>
            <w:vAlign w:val="center"/>
            <w:hideMark/>
          </w:tcPr>
          <w:p w14:paraId="2B10401F" w14:textId="77777777" w:rsidR="005C7872" w:rsidRPr="005C7872" w:rsidRDefault="005C7872" w:rsidP="005C7872">
            <w:pPr>
              <w:bidi w:val="0"/>
              <w:spacing w:after="0" w:line="240" w:lineRule="auto"/>
              <w:rPr>
                <w:rFonts w:ascii="Times New Roman" w:eastAsia="Times New Roman" w:hAnsi="Times New Roman" w:cs="Times New Roman"/>
                <w:sz w:val="20"/>
                <w:szCs w:val="20"/>
              </w:rPr>
            </w:pPr>
          </w:p>
        </w:tc>
      </w:tr>
      <w:tr w:rsidR="005C7872" w:rsidRPr="005C7872" w14:paraId="46BCE166" w14:textId="77777777" w:rsidTr="005C7872">
        <w:tc>
          <w:tcPr>
            <w:tcW w:w="0" w:type="auto"/>
            <w:shd w:val="clear" w:color="auto" w:fill="DCF4FF"/>
            <w:tcMar>
              <w:top w:w="45" w:type="dxa"/>
              <w:left w:w="75" w:type="dxa"/>
              <w:bottom w:w="45" w:type="dxa"/>
              <w:right w:w="75" w:type="dxa"/>
            </w:tcMar>
            <w:vAlign w:val="center"/>
            <w:hideMark/>
          </w:tcPr>
          <w:p w14:paraId="14FB0024"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Likelihood of sample loss</w:t>
            </w:r>
          </w:p>
        </w:tc>
        <w:tc>
          <w:tcPr>
            <w:tcW w:w="0" w:type="auto"/>
            <w:shd w:val="clear" w:color="auto" w:fill="DCF4FF"/>
            <w:tcMar>
              <w:top w:w="45" w:type="dxa"/>
              <w:left w:w="75" w:type="dxa"/>
              <w:bottom w:w="45" w:type="dxa"/>
              <w:right w:w="75" w:type="dxa"/>
            </w:tcMar>
            <w:vAlign w:val="center"/>
            <w:hideMark/>
          </w:tcPr>
          <w:p w14:paraId="7C412E6E"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Sample loss may occur during the washing step.</w:t>
            </w:r>
          </w:p>
        </w:tc>
        <w:tc>
          <w:tcPr>
            <w:tcW w:w="0" w:type="auto"/>
            <w:shd w:val="clear" w:color="auto" w:fill="FAFAD2"/>
            <w:tcMar>
              <w:top w:w="45" w:type="dxa"/>
              <w:left w:w="75" w:type="dxa"/>
              <w:bottom w:w="45" w:type="dxa"/>
              <w:right w:w="75" w:type="dxa"/>
            </w:tcMar>
            <w:vAlign w:val="center"/>
            <w:hideMark/>
          </w:tcPr>
          <w:p w14:paraId="6B9F2B7E"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Sample loss is negligible because the beads are pelleted using a magnet.</w:t>
            </w:r>
          </w:p>
        </w:tc>
        <w:tc>
          <w:tcPr>
            <w:tcW w:w="0" w:type="auto"/>
            <w:shd w:val="clear" w:color="auto" w:fill="FAFAD2"/>
            <w:tcMar>
              <w:top w:w="45" w:type="dxa"/>
              <w:left w:w="75" w:type="dxa"/>
              <w:bottom w:w="45" w:type="dxa"/>
              <w:right w:w="75" w:type="dxa"/>
            </w:tcMar>
            <w:vAlign w:val="center"/>
            <w:hideMark/>
          </w:tcPr>
          <w:p w14:paraId="54547297"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Sample loss is minimal because the beads are pelleted using a magnet.</w:t>
            </w:r>
          </w:p>
        </w:tc>
      </w:tr>
      <w:tr w:rsidR="005C7872" w:rsidRPr="005C7872" w14:paraId="4396E5E9" w14:textId="77777777" w:rsidTr="005C7872">
        <w:tc>
          <w:tcPr>
            <w:tcW w:w="0" w:type="auto"/>
            <w:shd w:val="clear" w:color="auto" w:fill="DCF4FF"/>
            <w:tcMar>
              <w:top w:w="45" w:type="dxa"/>
              <w:left w:w="75" w:type="dxa"/>
              <w:bottom w:w="45" w:type="dxa"/>
              <w:right w:w="75" w:type="dxa"/>
            </w:tcMar>
            <w:vAlign w:val="center"/>
            <w:hideMark/>
          </w:tcPr>
          <w:p w14:paraId="571FD806"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Centrifugation</w:t>
            </w:r>
          </w:p>
        </w:tc>
        <w:tc>
          <w:tcPr>
            <w:tcW w:w="0" w:type="auto"/>
            <w:shd w:val="clear" w:color="auto" w:fill="DCF4FF"/>
            <w:tcMar>
              <w:top w:w="45" w:type="dxa"/>
              <w:left w:w="75" w:type="dxa"/>
              <w:bottom w:w="45" w:type="dxa"/>
              <w:right w:w="75" w:type="dxa"/>
            </w:tcMar>
            <w:vAlign w:val="center"/>
            <w:hideMark/>
          </w:tcPr>
          <w:p w14:paraId="7BAF5370"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Necessary</w:t>
            </w:r>
          </w:p>
        </w:tc>
        <w:tc>
          <w:tcPr>
            <w:tcW w:w="0" w:type="auto"/>
            <w:shd w:val="clear" w:color="auto" w:fill="FAFAD2"/>
            <w:tcMar>
              <w:top w:w="45" w:type="dxa"/>
              <w:left w:w="75" w:type="dxa"/>
              <w:bottom w:w="45" w:type="dxa"/>
              <w:right w:w="75" w:type="dxa"/>
            </w:tcMar>
            <w:vAlign w:val="center"/>
            <w:hideMark/>
          </w:tcPr>
          <w:p w14:paraId="1020FA29"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Unnecessary</w:t>
            </w:r>
          </w:p>
        </w:tc>
        <w:tc>
          <w:tcPr>
            <w:tcW w:w="0" w:type="auto"/>
            <w:shd w:val="clear" w:color="auto" w:fill="FAFAD2"/>
            <w:tcMar>
              <w:top w:w="45" w:type="dxa"/>
              <w:left w:w="75" w:type="dxa"/>
              <w:bottom w:w="45" w:type="dxa"/>
              <w:right w:w="75" w:type="dxa"/>
            </w:tcMar>
            <w:vAlign w:val="center"/>
            <w:hideMark/>
          </w:tcPr>
          <w:p w14:paraId="5C299DC8"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Unnecessary</w:t>
            </w:r>
          </w:p>
        </w:tc>
      </w:tr>
      <w:tr w:rsidR="005C7872" w:rsidRPr="005C7872" w14:paraId="780EC192" w14:textId="77777777" w:rsidTr="005C7872">
        <w:tc>
          <w:tcPr>
            <w:tcW w:w="0" w:type="auto"/>
            <w:shd w:val="clear" w:color="auto" w:fill="DCF4FF"/>
            <w:tcMar>
              <w:top w:w="45" w:type="dxa"/>
              <w:left w:w="75" w:type="dxa"/>
              <w:bottom w:w="45" w:type="dxa"/>
              <w:right w:w="75" w:type="dxa"/>
            </w:tcMar>
            <w:vAlign w:val="center"/>
            <w:hideMark/>
          </w:tcPr>
          <w:p w14:paraId="0EFEF6D6"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Magnetic rack</w:t>
            </w:r>
          </w:p>
        </w:tc>
        <w:tc>
          <w:tcPr>
            <w:tcW w:w="0" w:type="auto"/>
            <w:shd w:val="clear" w:color="auto" w:fill="FAFAD2"/>
            <w:tcMar>
              <w:top w:w="45" w:type="dxa"/>
              <w:left w:w="75" w:type="dxa"/>
              <w:bottom w:w="45" w:type="dxa"/>
              <w:right w:w="75" w:type="dxa"/>
            </w:tcMar>
            <w:vAlign w:val="center"/>
            <w:hideMark/>
          </w:tcPr>
          <w:p w14:paraId="66502564"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Unnecessary</w:t>
            </w:r>
          </w:p>
        </w:tc>
        <w:tc>
          <w:tcPr>
            <w:tcW w:w="0" w:type="auto"/>
            <w:shd w:val="clear" w:color="auto" w:fill="DCF4FF"/>
            <w:tcMar>
              <w:top w:w="45" w:type="dxa"/>
              <w:left w:w="75" w:type="dxa"/>
              <w:bottom w:w="45" w:type="dxa"/>
              <w:right w:w="75" w:type="dxa"/>
            </w:tcMar>
            <w:vAlign w:val="center"/>
            <w:hideMark/>
          </w:tcPr>
          <w:p w14:paraId="2BB74944"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Necessary</w:t>
            </w:r>
          </w:p>
        </w:tc>
        <w:tc>
          <w:tcPr>
            <w:tcW w:w="0" w:type="auto"/>
            <w:shd w:val="clear" w:color="auto" w:fill="DCF4FF"/>
            <w:tcMar>
              <w:top w:w="45" w:type="dxa"/>
              <w:left w:w="75" w:type="dxa"/>
              <w:bottom w:w="45" w:type="dxa"/>
              <w:right w:w="75" w:type="dxa"/>
            </w:tcMar>
            <w:vAlign w:val="center"/>
            <w:hideMark/>
          </w:tcPr>
          <w:p w14:paraId="31828AAC"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Necessary</w:t>
            </w:r>
          </w:p>
        </w:tc>
      </w:tr>
      <w:tr w:rsidR="005C7872" w:rsidRPr="005C7872" w14:paraId="2D2632C8" w14:textId="77777777" w:rsidTr="005C7872">
        <w:tc>
          <w:tcPr>
            <w:tcW w:w="0" w:type="auto"/>
            <w:shd w:val="clear" w:color="auto" w:fill="DCF4FF"/>
            <w:tcMar>
              <w:top w:w="45" w:type="dxa"/>
              <w:left w:w="75" w:type="dxa"/>
              <w:bottom w:w="45" w:type="dxa"/>
              <w:right w:w="75" w:type="dxa"/>
            </w:tcMar>
            <w:vAlign w:val="center"/>
            <w:hideMark/>
          </w:tcPr>
          <w:p w14:paraId="6924FD1E"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Visibility of the beads</w:t>
            </w:r>
          </w:p>
        </w:tc>
        <w:tc>
          <w:tcPr>
            <w:tcW w:w="0" w:type="auto"/>
            <w:shd w:val="clear" w:color="auto" w:fill="DCF4FF"/>
            <w:tcMar>
              <w:top w:w="45" w:type="dxa"/>
              <w:left w:w="75" w:type="dxa"/>
              <w:bottom w:w="45" w:type="dxa"/>
              <w:right w:w="75" w:type="dxa"/>
            </w:tcMar>
            <w:vAlign w:val="center"/>
            <w:hideMark/>
          </w:tcPr>
          <w:p w14:paraId="4B0F4423"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Poor</w:t>
            </w:r>
          </w:p>
        </w:tc>
        <w:tc>
          <w:tcPr>
            <w:tcW w:w="0" w:type="auto"/>
            <w:shd w:val="clear" w:color="auto" w:fill="FAFAD2"/>
            <w:tcMar>
              <w:top w:w="45" w:type="dxa"/>
              <w:left w:w="75" w:type="dxa"/>
              <w:bottom w:w="45" w:type="dxa"/>
              <w:right w:w="75" w:type="dxa"/>
            </w:tcMar>
            <w:vAlign w:val="center"/>
            <w:hideMark/>
          </w:tcPr>
          <w:p w14:paraId="23B5BD32"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Excellent</w:t>
            </w:r>
          </w:p>
        </w:tc>
        <w:tc>
          <w:tcPr>
            <w:tcW w:w="0" w:type="auto"/>
            <w:shd w:val="clear" w:color="auto" w:fill="FAFAD2"/>
            <w:tcMar>
              <w:top w:w="45" w:type="dxa"/>
              <w:left w:w="75" w:type="dxa"/>
              <w:bottom w:w="45" w:type="dxa"/>
              <w:right w:w="75" w:type="dxa"/>
            </w:tcMar>
            <w:vAlign w:val="center"/>
            <w:hideMark/>
          </w:tcPr>
          <w:p w14:paraId="0E27EFC6"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Excellent</w:t>
            </w:r>
          </w:p>
        </w:tc>
      </w:tr>
      <w:tr w:rsidR="005C7872" w:rsidRPr="005C7872" w14:paraId="4B6C4DD1" w14:textId="77777777" w:rsidTr="005C7872">
        <w:tc>
          <w:tcPr>
            <w:tcW w:w="0" w:type="auto"/>
            <w:shd w:val="clear" w:color="auto" w:fill="DCF4FF"/>
            <w:tcMar>
              <w:top w:w="45" w:type="dxa"/>
              <w:left w:w="75" w:type="dxa"/>
              <w:bottom w:w="45" w:type="dxa"/>
              <w:right w:w="75" w:type="dxa"/>
            </w:tcMar>
            <w:vAlign w:val="center"/>
            <w:hideMark/>
          </w:tcPr>
          <w:p w14:paraId="2D76F0CF"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Other features</w:t>
            </w:r>
          </w:p>
        </w:tc>
        <w:tc>
          <w:tcPr>
            <w:tcW w:w="0" w:type="auto"/>
            <w:shd w:val="clear" w:color="auto" w:fill="FAFAD2"/>
            <w:tcMar>
              <w:top w:w="45" w:type="dxa"/>
              <w:left w:w="75" w:type="dxa"/>
              <w:bottom w:w="45" w:type="dxa"/>
              <w:right w:w="75" w:type="dxa"/>
            </w:tcMar>
            <w:vAlign w:val="center"/>
            <w:hideMark/>
          </w:tcPr>
          <w:p w14:paraId="4700F9FC"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Inexpensive</w:t>
            </w:r>
          </w:p>
        </w:tc>
        <w:tc>
          <w:tcPr>
            <w:tcW w:w="0" w:type="auto"/>
            <w:shd w:val="clear" w:color="auto" w:fill="FAFAD2"/>
            <w:tcMar>
              <w:top w:w="45" w:type="dxa"/>
              <w:left w:w="75" w:type="dxa"/>
              <w:bottom w:w="45" w:type="dxa"/>
              <w:right w:w="75" w:type="dxa"/>
            </w:tcMar>
            <w:vAlign w:val="center"/>
            <w:hideMark/>
          </w:tcPr>
          <w:p w14:paraId="0B8308A6"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Easy to disperse; useful for screening, etc.</w:t>
            </w:r>
          </w:p>
        </w:tc>
        <w:tc>
          <w:tcPr>
            <w:tcW w:w="0" w:type="auto"/>
            <w:shd w:val="clear" w:color="auto" w:fill="FAFAD2"/>
            <w:tcMar>
              <w:top w:w="45" w:type="dxa"/>
              <w:left w:w="75" w:type="dxa"/>
              <w:bottom w:w="45" w:type="dxa"/>
              <w:right w:w="75" w:type="dxa"/>
            </w:tcMar>
            <w:vAlign w:val="center"/>
            <w:hideMark/>
          </w:tcPr>
          <w:p w14:paraId="3CEF8273"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Less expensive and provides a higher yield than magnetic beads.</w:t>
            </w:r>
          </w:p>
        </w:tc>
      </w:tr>
    </w:tbl>
    <w:p w14:paraId="14F2352D" w14:textId="77777777" w:rsidR="005C7872" w:rsidRPr="005C7872" w:rsidRDefault="005C7872" w:rsidP="005C7872">
      <w:pPr>
        <w:bidi w:val="0"/>
        <w:spacing w:after="0" w:line="240" w:lineRule="auto"/>
        <w:rPr>
          <w:rFonts w:ascii="Times New Roman" w:eastAsia="Times New Roman" w:hAnsi="Times New Roman" w:cs="Times New Roman"/>
          <w:sz w:val="24"/>
          <w:szCs w:val="24"/>
        </w:rPr>
      </w:pPr>
      <w:r w:rsidRPr="005C7872">
        <w:rPr>
          <w:rFonts w:ascii="Meiryo" w:eastAsia="Meiryo" w:hAnsi="Meiryo" w:cs="Meiryo" w:hint="eastAsia"/>
          <w:color w:val="000000"/>
          <w:sz w:val="27"/>
          <w:szCs w:val="27"/>
        </w:rPr>
        <w:br w:type="textWrapping" w:clear="all"/>
      </w:r>
    </w:p>
    <w:p w14:paraId="2AEEC88E" w14:textId="77777777" w:rsidR="005C7872" w:rsidRPr="005C7872" w:rsidRDefault="00FB33FF" w:rsidP="005C7872">
      <w:pPr>
        <w:bidi w:val="0"/>
        <w:spacing w:after="225" w:line="240" w:lineRule="auto"/>
        <w:ind w:left="225"/>
        <w:rPr>
          <w:rFonts w:ascii="Meiryo" w:eastAsia="Meiryo" w:hAnsi="Meiryo" w:cs="Meiryo"/>
          <w:color w:val="000000"/>
          <w:sz w:val="20"/>
          <w:szCs w:val="20"/>
        </w:rPr>
      </w:pPr>
      <w:hyperlink r:id="rId16" w:history="1">
        <w:r w:rsidR="005C7872" w:rsidRPr="005C7872">
          <w:rPr>
            <w:rFonts w:ascii="Meiryo" w:eastAsia="Meiryo" w:hAnsi="Meiryo" w:cs="Meiryo" w:hint="eastAsia"/>
            <w:color w:val="0078B7"/>
            <w:sz w:val="20"/>
            <w:szCs w:val="20"/>
          </w:rPr>
          <w:t>[Related topics] </w:t>
        </w:r>
        <w:r w:rsidR="005C7872" w:rsidRPr="005C7872">
          <w:rPr>
            <w:rFonts w:ascii="Meiryo" w:eastAsia="Meiryo" w:hAnsi="Meiryo" w:cs="Meiryo" w:hint="eastAsia"/>
            <w:i/>
            <w:iCs/>
            <w:color w:val="0078B7"/>
            <w:sz w:val="20"/>
            <w:szCs w:val="20"/>
          </w:rPr>
          <w:t>Smart-IP</w:t>
        </w:r>
        <w:r w:rsidR="005C7872" w:rsidRPr="005C7872">
          <w:rPr>
            <w:rFonts w:ascii="Meiryo" w:eastAsia="Meiryo" w:hAnsi="Meiryo" w:cs="Meiryo" w:hint="eastAsia"/>
            <w:color w:val="0078B7"/>
            <w:sz w:val="20"/>
            <w:szCs w:val="20"/>
          </w:rPr>
          <w:t> tag-antibodies conjugated with magnetic beads or magnetic agarose</w:t>
        </w:r>
      </w:hyperlink>
    </w:p>
    <w:p w14:paraId="2590B4D2" w14:textId="77777777" w:rsidR="005C7872" w:rsidRPr="005C7872" w:rsidRDefault="005C7872" w:rsidP="005C7872">
      <w:pPr>
        <w:bidi w:val="0"/>
        <w:spacing w:after="150" w:line="240" w:lineRule="auto"/>
        <w:ind w:left="120"/>
        <w:outlineLvl w:val="2"/>
        <w:rPr>
          <w:rFonts w:ascii="Meiryo" w:eastAsia="Meiryo" w:hAnsi="Meiryo" w:cs="Meiryo"/>
          <w:b/>
          <w:bCs/>
          <w:color w:val="000000"/>
          <w:sz w:val="21"/>
          <w:szCs w:val="21"/>
        </w:rPr>
      </w:pPr>
      <w:r w:rsidRPr="005C7872">
        <w:rPr>
          <w:rFonts w:ascii="Meiryo" w:eastAsia="Meiryo" w:hAnsi="Meiryo" w:cs="Meiryo" w:hint="eastAsia"/>
          <w:b/>
          <w:bCs/>
          <w:color w:val="000000"/>
          <w:sz w:val="21"/>
          <w:szCs w:val="21"/>
        </w:rPr>
        <w:t>Detergents</w:t>
      </w:r>
    </w:p>
    <w:p w14:paraId="3B75AFD6" w14:textId="77777777" w:rsidR="005C7872" w:rsidRPr="005C7872" w:rsidRDefault="005C7872" w:rsidP="005C7872">
      <w:pPr>
        <w:bidi w:val="0"/>
        <w:spacing w:after="225" w:line="240" w:lineRule="auto"/>
        <w:ind w:left="225"/>
        <w:rPr>
          <w:rFonts w:ascii="Meiryo" w:eastAsia="Meiryo" w:hAnsi="Meiryo" w:cs="Meiryo"/>
          <w:color w:val="000000"/>
          <w:sz w:val="20"/>
          <w:szCs w:val="20"/>
        </w:rPr>
      </w:pPr>
      <w:r w:rsidRPr="005C7872">
        <w:rPr>
          <w:rFonts w:ascii="Meiryo" w:eastAsia="Meiryo" w:hAnsi="Meiryo" w:cs="Meiryo" w:hint="eastAsia"/>
          <w:color w:val="000000"/>
          <w:sz w:val="20"/>
          <w:szCs w:val="20"/>
        </w:rPr>
        <w:t>Appropriate concentrations of salt and non-ionic detergent are commonly used in IP to reduce non-specific binding (protein-protein and protein-bead interactions). Pilot experiments should be performed with detergents, which may reduce the affinity of the antibody, especially when using a monoclonal antibody.</w:t>
      </w:r>
    </w:p>
    <w:p w14:paraId="2CE76C86" w14:textId="77777777" w:rsidR="005C7872" w:rsidRPr="005C7872" w:rsidRDefault="005C7872" w:rsidP="005C7872">
      <w:pPr>
        <w:bidi w:val="0"/>
        <w:spacing w:after="150" w:line="240" w:lineRule="auto"/>
        <w:ind w:left="120"/>
        <w:outlineLvl w:val="2"/>
        <w:rPr>
          <w:rFonts w:ascii="Meiryo" w:eastAsia="Meiryo" w:hAnsi="Meiryo" w:cs="Meiryo"/>
          <w:b/>
          <w:bCs/>
          <w:color w:val="000000"/>
          <w:sz w:val="21"/>
          <w:szCs w:val="21"/>
        </w:rPr>
      </w:pPr>
      <w:r w:rsidRPr="005C7872">
        <w:rPr>
          <w:rFonts w:ascii="Meiryo" w:eastAsia="Meiryo" w:hAnsi="Meiryo" w:cs="Meiryo" w:hint="eastAsia"/>
          <w:b/>
          <w:bCs/>
          <w:color w:val="000000"/>
          <w:sz w:val="21"/>
          <w:szCs w:val="21"/>
        </w:rPr>
        <w:t>Protease inhibitors</w:t>
      </w:r>
    </w:p>
    <w:p w14:paraId="453B2AF8" w14:textId="77777777" w:rsidR="005C7872" w:rsidRPr="005C7872" w:rsidRDefault="005C7872" w:rsidP="005C7872">
      <w:pPr>
        <w:bidi w:val="0"/>
        <w:spacing w:after="225" w:line="240" w:lineRule="auto"/>
        <w:ind w:left="225"/>
        <w:rPr>
          <w:rFonts w:ascii="Meiryo" w:eastAsia="Meiryo" w:hAnsi="Meiryo" w:cs="Meiryo"/>
          <w:color w:val="000000"/>
          <w:sz w:val="20"/>
          <w:szCs w:val="20"/>
        </w:rPr>
      </w:pPr>
      <w:r w:rsidRPr="005C7872">
        <w:rPr>
          <w:rFonts w:ascii="Meiryo" w:eastAsia="Meiryo" w:hAnsi="Meiryo" w:cs="Meiryo" w:hint="eastAsia"/>
          <w:color w:val="000000"/>
          <w:sz w:val="20"/>
          <w:szCs w:val="20"/>
        </w:rPr>
        <w:t>The target protein and antibody are subject to degradation by protein-degrading enzymes (proteases) in samples such as cell lysates and tissue extracts. To prevent proteolytic degradation, protease inhibitors are included. When the type of proteases in samples are known or predicted, specific inhibitors are used. When proteases are unknown, a combination of multiple small molecule inhibitors, such as PMSF and EDTA, are used.</w:t>
      </w:r>
    </w:p>
    <w:p w14:paraId="09EC4137" w14:textId="77777777" w:rsidR="005C7872" w:rsidRPr="005C7872" w:rsidRDefault="005C7872" w:rsidP="005C7872">
      <w:pPr>
        <w:bidi w:val="0"/>
        <w:spacing w:after="150" w:line="240" w:lineRule="auto"/>
        <w:ind w:left="120"/>
        <w:outlineLvl w:val="2"/>
        <w:rPr>
          <w:rFonts w:ascii="Meiryo" w:eastAsia="Meiryo" w:hAnsi="Meiryo" w:cs="Meiryo"/>
          <w:b/>
          <w:bCs/>
          <w:color w:val="000000"/>
          <w:sz w:val="21"/>
          <w:szCs w:val="21"/>
        </w:rPr>
      </w:pPr>
      <w:r w:rsidRPr="005C7872">
        <w:rPr>
          <w:rFonts w:ascii="Meiryo" w:eastAsia="Meiryo" w:hAnsi="Meiryo" w:cs="Meiryo" w:hint="eastAsia"/>
          <w:b/>
          <w:bCs/>
          <w:color w:val="000000"/>
          <w:sz w:val="21"/>
          <w:szCs w:val="21"/>
        </w:rPr>
        <w:t>Elution condition</w:t>
      </w:r>
    </w:p>
    <w:p w14:paraId="478E9BA5" w14:textId="77777777" w:rsidR="005C7872" w:rsidRPr="005C7872" w:rsidRDefault="005C7872" w:rsidP="005C7872">
      <w:pPr>
        <w:bidi w:val="0"/>
        <w:spacing w:after="225" w:line="240" w:lineRule="auto"/>
        <w:ind w:left="225"/>
        <w:rPr>
          <w:rFonts w:ascii="Meiryo" w:eastAsia="Meiryo" w:hAnsi="Meiryo" w:cs="Meiryo"/>
          <w:color w:val="000000"/>
          <w:sz w:val="20"/>
          <w:szCs w:val="20"/>
        </w:rPr>
      </w:pPr>
      <w:r w:rsidRPr="005C7872">
        <w:rPr>
          <w:rFonts w:ascii="Meiryo" w:eastAsia="Meiryo" w:hAnsi="Meiryo" w:cs="Meiryo" w:hint="eastAsia"/>
          <w:color w:val="000000"/>
          <w:sz w:val="20"/>
          <w:szCs w:val="20"/>
        </w:rPr>
        <w:t>In most applications, proteins are eluted in SDS sample buffer containing a reducing agent, such as 2-mercaptoethanol(2-ME). In addition to the target protein, the antibodies used for IP are co-eluted, which should be considered when performing Western blotting or mass analysis.</w:t>
      </w:r>
    </w:p>
    <w:p w14:paraId="44F5D96A" w14:textId="77777777" w:rsidR="005C7872" w:rsidRPr="005C7872" w:rsidRDefault="005C7872" w:rsidP="005C7872">
      <w:pPr>
        <w:bidi w:val="0"/>
        <w:spacing w:after="0" w:line="240" w:lineRule="auto"/>
        <w:rPr>
          <w:rFonts w:ascii="Times New Roman" w:eastAsia="Times New Roman" w:hAnsi="Times New Roman" w:cs="Times New Roman"/>
          <w:sz w:val="24"/>
          <w:szCs w:val="24"/>
        </w:rPr>
      </w:pPr>
      <w:r w:rsidRPr="005C7872">
        <w:rPr>
          <w:rFonts w:ascii="Meiryo" w:eastAsia="Meiryo" w:hAnsi="Meiryo" w:cs="Meiryo" w:hint="eastAsia"/>
          <w:color w:val="000000"/>
          <w:sz w:val="27"/>
          <w:szCs w:val="27"/>
        </w:rPr>
        <w:lastRenderedPageBreak/>
        <w:br w:type="textWrapping" w:clear="all"/>
      </w:r>
    </w:p>
    <w:p w14:paraId="26A2947F" w14:textId="77777777" w:rsidR="005C7872" w:rsidRPr="005C7872" w:rsidRDefault="005C7872" w:rsidP="005C7872">
      <w:pPr>
        <w:bidi w:val="0"/>
        <w:spacing w:after="150" w:line="240" w:lineRule="auto"/>
        <w:ind w:left="120"/>
        <w:outlineLvl w:val="1"/>
        <w:rPr>
          <w:rFonts w:ascii="Meiryo" w:eastAsia="Meiryo" w:hAnsi="Meiryo" w:cs="Meiryo"/>
          <w:b/>
          <w:bCs/>
          <w:color w:val="000000"/>
          <w:sz w:val="24"/>
          <w:szCs w:val="24"/>
        </w:rPr>
      </w:pPr>
      <w:r w:rsidRPr="005C7872">
        <w:rPr>
          <w:rFonts w:ascii="Meiryo" w:eastAsia="Meiryo" w:hAnsi="Meiryo" w:cs="Meiryo" w:hint="eastAsia"/>
          <w:b/>
          <w:bCs/>
          <w:color w:val="000000"/>
          <w:sz w:val="24"/>
          <w:szCs w:val="24"/>
        </w:rPr>
        <w:t>Procedure</w:t>
      </w:r>
    </w:p>
    <w:tbl>
      <w:tblPr>
        <w:tblW w:w="10410" w:type="dxa"/>
        <w:tblBorders>
          <w:top w:val="single" w:sz="6" w:space="0" w:color="E3E3E3"/>
          <w:left w:val="single" w:sz="6" w:space="0" w:color="E3E3E3"/>
          <w:bottom w:val="single" w:sz="6" w:space="0" w:color="E3E3E3"/>
          <w:right w:val="single" w:sz="6" w:space="0" w:color="E3E3E3"/>
        </w:tblBorders>
        <w:tblCellMar>
          <w:left w:w="0" w:type="dxa"/>
          <w:right w:w="0" w:type="dxa"/>
        </w:tblCellMar>
        <w:tblLook w:val="04A0" w:firstRow="1" w:lastRow="0" w:firstColumn="1" w:lastColumn="0" w:noHBand="0" w:noVBand="1"/>
      </w:tblPr>
      <w:tblGrid>
        <w:gridCol w:w="5010"/>
        <w:gridCol w:w="5400"/>
      </w:tblGrid>
      <w:tr w:rsidR="005C7872" w:rsidRPr="005C7872" w14:paraId="76BBC028" w14:textId="77777777" w:rsidTr="005C7872">
        <w:tc>
          <w:tcPr>
            <w:tcW w:w="0" w:type="auto"/>
            <w:gridSpan w:val="2"/>
            <w:tcBorders>
              <w:top w:val="nil"/>
              <w:left w:val="nil"/>
              <w:bottom w:val="nil"/>
              <w:right w:val="nil"/>
            </w:tcBorders>
            <w:shd w:val="clear" w:color="auto" w:fill="66CCFF"/>
            <w:noWrap/>
            <w:tcMar>
              <w:top w:w="75" w:type="dxa"/>
              <w:left w:w="75" w:type="dxa"/>
              <w:bottom w:w="75" w:type="dxa"/>
              <w:right w:w="75" w:type="dxa"/>
            </w:tcMar>
            <w:vAlign w:val="center"/>
            <w:hideMark/>
          </w:tcPr>
          <w:p w14:paraId="46278F92" w14:textId="77777777" w:rsidR="005C7872" w:rsidRPr="005C7872" w:rsidRDefault="005C7872" w:rsidP="005C7872">
            <w:pPr>
              <w:bidi w:val="0"/>
              <w:spacing w:after="0" w:line="240" w:lineRule="auto"/>
              <w:rPr>
                <w:rFonts w:ascii="Times New Roman" w:eastAsia="Times New Roman" w:hAnsi="Times New Roman" w:cs="Times New Roman"/>
                <w:b/>
                <w:bCs/>
                <w:sz w:val="20"/>
                <w:szCs w:val="20"/>
              </w:rPr>
            </w:pPr>
            <w:r w:rsidRPr="005C7872">
              <w:rPr>
                <w:rFonts w:ascii="Times New Roman" w:eastAsia="Times New Roman" w:hAnsi="Times New Roman" w:cs="Times New Roman"/>
                <w:b/>
                <w:bCs/>
                <w:sz w:val="20"/>
                <w:szCs w:val="20"/>
              </w:rPr>
              <w:t>IP (with agarose beads)</w:t>
            </w:r>
            <w:r w:rsidRPr="005C7872">
              <w:rPr>
                <w:rFonts w:ascii="MS Mincho" w:eastAsia="MS Mincho" w:hAnsi="MS Mincho" w:cs="MS Mincho"/>
                <w:b/>
                <w:bCs/>
                <w:sz w:val="20"/>
                <w:szCs w:val="20"/>
              </w:rPr>
              <w:t xml:space="preserve">　※</w:t>
            </w:r>
            <w:r w:rsidRPr="005C7872">
              <w:rPr>
                <w:rFonts w:ascii="Times New Roman" w:eastAsia="Times New Roman" w:hAnsi="Times New Roman" w:cs="Times New Roman"/>
                <w:b/>
                <w:bCs/>
                <w:sz w:val="20"/>
                <w:szCs w:val="20"/>
              </w:rPr>
              <w:t>An example performed at MBL</w:t>
            </w:r>
          </w:p>
        </w:tc>
      </w:tr>
      <w:tr w:rsidR="005C7872" w:rsidRPr="005C7872" w14:paraId="48E49A36" w14:textId="77777777" w:rsidTr="005C7872">
        <w:tc>
          <w:tcPr>
            <w:tcW w:w="4500" w:type="dxa"/>
            <w:tcBorders>
              <w:top w:val="single" w:sz="2" w:space="0" w:color="E3E3E3"/>
              <w:left w:val="single" w:sz="6" w:space="0" w:color="E3E3E3"/>
              <w:bottom w:val="single" w:sz="6" w:space="0" w:color="E3E3E3"/>
              <w:right w:val="single" w:sz="2" w:space="0" w:color="E3E3E3"/>
            </w:tcBorders>
            <w:shd w:val="clear" w:color="auto" w:fill="66CCFF"/>
            <w:noWrap/>
            <w:tcMar>
              <w:top w:w="75" w:type="dxa"/>
              <w:left w:w="75" w:type="dxa"/>
              <w:bottom w:w="75" w:type="dxa"/>
              <w:right w:w="75" w:type="dxa"/>
            </w:tcMar>
            <w:vAlign w:val="center"/>
            <w:hideMark/>
          </w:tcPr>
          <w:p w14:paraId="1BC7C2DB" w14:textId="77777777" w:rsidR="005C7872" w:rsidRPr="005C7872" w:rsidRDefault="005C7872" w:rsidP="005C7872">
            <w:pPr>
              <w:bidi w:val="0"/>
              <w:spacing w:after="0" w:line="300" w:lineRule="atLeast"/>
              <w:rPr>
                <w:rFonts w:ascii="Times New Roman" w:eastAsia="Times New Roman" w:hAnsi="Times New Roman" w:cs="Times New Roman"/>
                <w:b/>
                <w:bCs/>
                <w:color w:val="000000"/>
                <w:sz w:val="18"/>
                <w:szCs w:val="18"/>
              </w:rPr>
            </w:pPr>
            <w:r w:rsidRPr="005C7872">
              <w:rPr>
                <w:rFonts w:ascii="Times New Roman" w:eastAsia="Times New Roman" w:hAnsi="Times New Roman" w:cs="Times New Roman"/>
                <w:b/>
                <w:bCs/>
                <w:color w:val="000000"/>
                <w:sz w:val="18"/>
                <w:szCs w:val="18"/>
              </w:rPr>
              <w:t>Step-by-step procedure</w:t>
            </w:r>
          </w:p>
        </w:tc>
        <w:tc>
          <w:tcPr>
            <w:tcW w:w="5250" w:type="dxa"/>
            <w:tcBorders>
              <w:top w:val="single" w:sz="2" w:space="0" w:color="E3E3E3"/>
              <w:left w:val="single" w:sz="6" w:space="0" w:color="E3E3E3"/>
              <w:bottom w:val="single" w:sz="6" w:space="0" w:color="E3E3E3"/>
              <w:right w:val="single" w:sz="2" w:space="0" w:color="E3E3E3"/>
            </w:tcBorders>
            <w:shd w:val="clear" w:color="auto" w:fill="66CCFF"/>
            <w:tcMar>
              <w:top w:w="75" w:type="dxa"/>
              <w:left w:w="75" w:type="dxa"/>
              <w:bottom w:w="75" w:type="dxa"/>
              <w:right w:w="75" w:type="dxa"/>
            </w:tcMar>
            <w:vAlign w:val="center"/>
            <w:hideMark/>
          </w:tcPr>
          <w:p w14:paraId="598B1D01" w14:textId="77777777" w:rsidR="005C7872" w:rsidRPr="005C7872" w:rsidRDefault="005C7872" w:rsidP="005C7872">
            <w:pPr>
              <w:bidi w:val="0"/>
              <w:spacing w:after="0" w:line="300" w:lineRule="atLeast"/>
              <w:rPr>
                <w:rFonts w:ascii="Times New Roman" w:eastAsia="Times New Roman" w:hAnsi="Times New Roman" w:cs="Times New Roman"/>
                <w:b/>
                <w:bCs/>
                <w:color w:val="000000"/>
                <w:sz w:val="18"/>
                <w:szCs w:val="18"/>
              </w:rPr>
            </w:pPr>
          </w:p>
        </w:tc>
      </w:tr>
      <w:tr w:rsidR="005C7872" w:rsidRPr="005C7872" w14:paraId="405BA7A5" w14:textId="77777777" w:rsidTr="005C7872">
        <w:tc>
          <w:tcPr>
            <w:tcW w:w="0" w:type="auto"/>
            <w:shd w:val="clear" w:color="auto" w:fill="DCF4FF"/>
            <w:tcMar>
              <w:top w:w="45" w:type="dxa"/>
              <w:left w:w="75" w:type="dxa"/>
              <w:bottom w:w="45" w:type="dxa"/>
              <w:right w:w="75" w:type="dxa"/>
            </w:tcMar>
            <w:vAlign w:val="center"/>
            <w:hideMark/>
          </w:tcPr>
          <w:p w14:paraId="04FCE436" w14:textId="3AAEE670"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Incubation with a primary antibody</w:t>
            </w:r>
            <w:r w:rsidRPr="005C7872">
              <w:rPr>
                <w:rFonts w:ascii="Times New Roman" w:eastAsia="Times New Roman" w:hAnsi="Times New Roman" w:cs="Times New Roman"/>
                <w:b/>
                <w:bCs/>
                <w:sz w:val="18"/>
                <w:szCs w:val="18"/>
              </w:rPr>
              <w:br/>
            </w:r>
            <w:r w:rsidRPr="005C7872">
              <w:rPr>
                <w:rFonts w:ascii="Times New Roman" w:eastAsia="Times New Roman" w:hAnsi="Times New Roman" w:cs="Times New Roman"/>
                <w:b/>
                <w:bCs/>
                <w:noProof/>
                <w:sz w:val="18"/>
                <w:szCs w:val="18"/>
              </w:rPr>
              <w:drawing>
                <wp:inline distT="0" distB="0" distL="0" distR="0" wp14:anchorId="76347DDB" wp14:editId="1C0D0614">
                  <wp:extent cx="2762250" cy="1028700"/>
                  <wp:effectExtent l="0" t="0" r="0" b="0"/>
                  <wp:docPr id="11" name="Picture 11" descr="Antigen-antibody comple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tigen-antibody complex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1028700"/>
                          </a:xfrm>
                          <a:prstGeom prst="rect">
                            <a:avLst/>
                          </a:prstGeom>
                          <a:noFill/>
                          <a:ln>
                            <a:noFill/>
                          </a:ln>
                        </pic:spPr>
                      </pic:pic>
                    </a:graphicData>
                  </a:graphic>
                </wp:inline>
              </w:drawing>
            </w:r>
            <w:r w:rsidRPr="005C7872">
              <w:rPr>
                <w:rFonts w:ascii="Times New Roman" w:eastAsia="Times New Roman" w:hAnsi="Times New Roman" w:cs="Times New Roman"/>
                <w:b/>
                <w:bCs/>
                <w:sz w:val="18"/>
                <w:szCs w:val="18"/>
              </w:rPr>
              <w:br/>
              <w:t>Add 500 µL of protein extract and 2-10 µg of the primary antibody to a 1.5-mL tube.</w:t>
            </w:r>
          </w:p>
        </w:tc>
        <w:tc>
          <w:tcPr>
            <w:tcW w:w="0" w:type="auto"/>
            <w:shd w:val="clear" w:color="auto" w:fill="DCF4FF"/>
            <w:tcMar>
              <w:top w:w="45" w:type="dxa"/>
              <w:left w:w="75" w:type="dxa"/>
              <w:bottom w:w="45" w:type="dxa"/>
              <w:right w:w="75" w:type="dxa"/>
            </w:tcMar>
            <w:vAlign w:val="center"/>
            <w:hideMark/>
          </w:tcPr>
          <w:p w14:paraId="74CB8FE1" w14:textId="4584AA43"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noProof/>
                <w:sz w:val="18"/>
                <w:szCs w:val="18"/>
              </w:rPr>
              <w:drawing>
                <wp:inline distT="0" distB="0" distL="0" distR="0" wp14:anchorId="56CD40C1" wp14:editId="6DA74811">
                  <wp:extent cx="3333750" cy="2867025"/>
                  <wp:effectExtent l="0" t="0" r="0" b="9525"/>
                  <wp:docPr id="10" name="Picture 10" descr="IP - incubation with a primary anti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P - incubation with a primary antibod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2867025"/>
                          </a:xfrm>
                          <a:prstGeom prst="rect">
                            <a:avLst/>
                          </a:prstGeom>
                          <a:noFill/>
                          <a:ln>
                            <a:noFill/>
                          </a:ln>
                        </pic:spPr>
                      </pic:pic>
                    </a:graphicData>
                  </a:graphic>
                </wp:inline>
              </w:drawing>
            </w:r>
          </w:p>
        </w:tc>
      </w:tr>
      <w:tr w:rsidR="005C7872" w:rsidRPr="005C7872" w14:paraId="434F7B47" w14:textId="77777777" w:rsidTr="005C7872">
        <w:tc>
          <w:tcPr>
            <w:tcW w:w="0" w:type="auto"/>
            <w:shd w:val="clear" w:color="auto" w:fill="DCF4FF"/>
            <w:tcMar>
              <w:top w:w="45" w:type="dxa"/>
              <w:left w:w="75" w:type="dxa"/>
              <w:bottom w:w="45" w:type="dxa"/>
              <w:right w:w="75" w:type="dxa"/>
            </w:tcMar>
            <w:vAlign w:val="center"/>
            <w:hideMark/>
          </w:tcPr>
          <w:p w14:paraId="173B36FE"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Incubate at 4°C for 1 hour-overnight with shaking on a rotator.</w:t>
            </w:r>
          </w:p>
        </w:tc>
        <w:tc>
          <w:tcPr>
            <w:tcW w:w="0" w:type="auto"/>
            <w:shd w:val="clear" w:color="auto" w:fill="DCF4FF"/>
            <w:tcMar>
              <w:top w:w="45" w:type="dxa"/>
              <w:left w:w="75" w:type="dxa"/>
              <w:bottom w:w="45" w:type="dxa"/>
              <w:right w:w="75" w:type="dxa"/>
            </w:tcMar>
            <w:vAlign w:val="center"/>
            <w:hideMark/>
          </w:tcPr>
          <w:p w14:paraId="55B95DC7" w14:textId="09FF1D1E"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noProof/>
                <w:sz w:val="18"/>
                <w:szCs w:val="18"/>
              </w:rPr>
              <w:drawing>
                <wp:inline distT="0" distB="0" distL="0" distR="0" wp14:anchorId="1B3A123E" wp14:editId="086E494F">
                  <wp:extent cx="1800225" cy="1771650"/>
                  <wp:effectExtent l="0" t="0" r="9525" b="0"/>
                  <wp:docPr id="9" name="Picture 9" descr="Ro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tat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1771650"/>
                          </a:xfrm>
                          <a:prstGeom prst="rect">
                            <a:avLst/>
                          </a:prstGeom>
                          <a:noFill/>
                          <a:ln>
                            <a:noFill/>
                          </a:ln>
                        </pic:spPr>
                      </pic:pic>
                    </a:graphicData>
                  </a:graphic>
                </wp:inline>
              </w:drawing>
            </w:r>
          </w:p>
        </w:tc>
      </w:tr>
      <w:tr w:rsidR="005C7872" w:rsidRPr="005C7872" w14:paraId="6BB4C5E4" w14:textId="77777777" w:rsidTr="005C7872">
        <w:tc>
          <w:tcPr>
            <w:tcW w:w="0" w:type="auto"/>
            <w:shd w:val="clear" w:color="auto" w:fill="DCF4FF"/>
            <w:tcMar>
              <w:top w:w="45" w:type="dxa"/>
              <w:left w:w="75" w:type="dxa"/>
              <w:bottom w:w="45" w:type="dxa"/>
              <w:right w:w="75" w:type="dxa"/>
            </w:tcMar>
            <w:vAlign w:val="center"/>
            <w:hideMark/>
          </w:tcPr>
          <w:p w14:paraId="5B39206B" w14:textId="3D89CF13"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lastRenderedPageBreak/>
              <w:t>Incubation with a secondary antibody</w:t>
            </w:r>
            <w:r w:rsidRPr="005C7872">
              <w:rPr>
                <w:rFonts w:ascii="Times New Roman" w:eastAsia="Times New Roman" w:hAnsi="Times New Roman" w:cs="Times New Roman"/>
                <w:b/>
                <w:bCs/>
                <w:sz w:val="18"/>
                <w:szCs w:val="18"/>
              </w:rPr>
              <w:br/>
            </w:r>
            <w:r w:rsidRPr="005C7872">
              <w:rPr>
                <w:rFonts w:ascii="Times New Roman" w:eastAsia="Times New Roman" w:hAnsi="Times New Roman" w:cs="Times New Roman"/>
                <w:b/>
                <w:bCs/>
                <w:noProof/>
                <w:sz w:val="18"/>
                <w:szCs w:val="18"/>
              </w:rPr>
              <w:drawing>
                <wp:inline distT="0" distB="0" distL="0" distR="0" wp14:anchorId="1DDA9E1B" wp14:editId="5EC16D45">
                  <wp:extent cx="2762250" cy="1190625"/>
                  <wp:effectExtent l="0" t="0" r="0" b="9525"/>
                  <wp:docPr id="8" name="Picture 8" descr="Secondary antibody-coated agarose b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condary antibody-coated agarose bea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0" cy="1190625"/>
                          </a:xfrm>
                          <a:prstGeom prst="rect">
                            <a:avLst/>
                          </a:prstGeom>
                          <a:noFill/>
                          <a:ln>
                            <a:noFill/>
                          </a:ln>
                        </pic:spPr>
                      </pic:pic>
                    </a:graphicData>
                  </a:graphic>
                </wp:inline>
              </w:drawing>
            </w:r>
            <w:r w:rsidRPr="005C7872">
              <w:rPr>
                <w:rFonts w:ascii="Times New Roman" w:eastAsia="Times New Roman" w:hAnsi="Times New Roman" w:cs="Times New Roman"/>
                <w:b/>
                <w:bCs/>
                <w:sz w:val="18"/>
                <w:szCs w:val="18"/>
              </w:rPr>
              <w:br/>
              <w:t>Add secondary antibody-coated (or protein A/G-coated) agarose beads.</w:t>
            </w:r>
          </w:p>
        </w:tc>
        <w:tc>
          <w:tcPr>
            <w:tcW w:w="0" w:type="auto"/>
            <w:shd w:val="clear" w:color="auto" w:fill="DCF4FF"/>
            <w:tcMar>
              <w:top w:w="45" w:type="dxa"/>
              <w:left w:w="75" w:type="dxa"/>
              <w:bottom w:w="45" w:type="dxa"/>
              <w:right w:w="75" w:type="dxa"/>
            </w:tcMar>
            <w:vAlign w:val="center"/>
            <w:hideMark/>
          </w:tcPr>
          <w:p w14:paraId="399D899B" w14:textId="0EC5B13A"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noProof/>
                <w:sz w:val="18"/>
                <w:szCs w:val="18"/>
              </w:rPr>
              <w:drawing>
                <wp:inline distT="0" distB="0" distL="0" distR="0" wp14:anchorId="66F03385" wp14:editId="18DA6E49">
                  <wp:extent cx="3333750" cy="3333750"/>
                  <wp:effectExtent l="0" t="0" r="0" b="0"/>
                  <wp:docPr id="7" name="Picture 7" descr="IP - incubation with a secondary anti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P - incubation with a secondary antibo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tc>
      </w:tr>
      <w:tr w:rsidR="005C7872" w:rsidRPr="005C7872" w14:paraId="77CDCBE2" w14:textId="77777777" w:rsidTr="005C7872">
        <w:tc>
          <w:tcPr>
            <w:tcW w:w="0" w:type="auto"/>
            <w:gridSpan w:val="2"/>
            <w:shd w:val="clear" w:color="auto" w:fill="DCF4FF"/>
            <w:tcMar>
              <w:top w:w="45" w:type="dxa"/>
              <w:left w:w="75" w:type="dxa"/>
              <w:bottom w:w="45" w:type="dxa"/>
              <w:right w:w="75" w:type="dxa"/>
            </w:tcMar>
            <w:vAlign w:val="center"/>
            <w:hideMark/>
          </w:tcPr>
          <w:p w14:paraId="111899B7"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Incubate at 4°C for 1 hour-overnight on a rotating shaker.</w:t>
            </w:r>
          </w:p>
        </w:tc>
      </w:tr>
      <w:tr w:rsidR="005C7872" w:rsidRPr="005C7872" w14:paraId="75B80A6E" w14:textId="77777777" w:rsidTr="005C7872">
        <w:tc>
          <w:tcPr>
            <w:tcW w:w="0" w:type="auto"/>
            <w:shd w:val="clear" w:color="auto" w:fill="DCF4FF"/>
            <w:tcMar>
              <w:top w:w="45" w:type="dxa"/>
              <w:left w:w="75" w:type="dxa"/>
              <w:bottom w:w="45" w:type="dxa"/>
              <w:right w:w="75" w:type="dxa"/>
            </w:tcMar>
            <w:vAlign w:val="center"/>
            <w:hideMark/>
          </w:tcPr>
          <w:p w14:paraId="2D13851A" w14:textId="41E3E584"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Washing</w:t>
            </w:r>
            <w:r w:rsidRPr="005C7872">
              <w:rPr>
                <w:rFonts w:ascii="Times New Roman" w:eastAsia="Times New Roman" w:hAnsi="Times New Roman" w:cs="Times New Roman"/>
                <w:b/>
                <w:bCs/>
                <w:sz w:val="18"/>
                <w:szCs w:val="18"/>
              </w:rPr>
              <w:br/>
            </w:r>
            <w:r w:rsidRPr="005C7872">
              <w:rPr>
                <w:rFonts w:ascii="Times New Roman" w:eastAsia="Times New Roman" w:hAnsi="Times New Roman" w:cs="Times New Roman"/>
                <w:b/>
                <w:bCs/>
                <w:noProof/>
                <w:sz w:val="18"/>
                <w:szCs w:val="18"/>
              </w:rPr>
              <w:drawing>
                <wp:inline distT="0" distB="0" distL="0" distR="0" wp14:anchorId="27F55A9F" wp14:editId="3D4958E4">
                  <wp:extent cx="2762250" cy="1162050"/>
                  <wp:effectExtent l="0" t="0" r="0" b="0"/>
                  <wp:docPr id="6" name="Picture 6" descr="IP w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P wash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0" cy="1162050"/>
                          </a:xfrm>
                          <a:prstGeom prst="rect">
                            <a:avLst/>
                          </a:prstGeom>
                          <a:noFill/>
                          <a:ln>
                            <a:noFill/>
                          </a:ln>
                        </pic:spPr>
                      </pic:pic>
                    </a:graphicData>
                  </a:graphic>
                </wp:inline>
              </w:drawing>
            </w:r>
            <w:r w:rsidRPr="005C7872">
              <w:rPr>
                <w:rFonts w:ascii="Times New Roman" w:eastAsia="Times New Roman" w:hAnsi="Times New Roman" w:cs="Times New Roman"/>
                <w:b/>
                <w:bCs/>
                <w:sz w:val="18"/>
                <w:szCs w:val="18"/>
              </w:rPr>
              <w:t> </w:t>
            </w:r>
            <w:r w:rsidRPr="005C7872">
              <w:rPr>
                <w:rFonts w:ascii="Times New Roman" w:eastAsia="Times New Roman" w:hAnsi="Times New Roman" w:cs="Times New Roman"/>
                <w:b/>
                <w:bCs/>
                <w:sz w:val="18"/>
                <w:szCs w:val="18"/>
              </w:rPr>
              <w:br/>
              <w:t xml:space="preserve">Pellet the agarose beads by </w:t>
            </w:r>
            <w:proofErr w:type="gramStart"/>
            <w:r w:rsidRPr="005C7872">
              <w:rPr>
                <w:rFonts w:ascii="Times New Roman" w:eastAsia="Times New Roman" w:hAnsi="Times New Roman" w:cs="Times New Roman"/>
                <w:b/>
                <w:bCs/>
                <w:sz w:val="18"/>
                <w:szCs w:val="18"/>
              </w:rPr>
              <w:t>centrifugation, and</w:t>
            </w:r>
            <w:proofErr w:type="gramEnd"/>
            <w:r w:rsidRPr="005C7872">
              <w:rPr>
                <w:rFonts w:ascii="Times New Roman" w:eastAsia="Times New Roman" w:hAnsi="Times New Roman" w:cs="Times New Roman"/>
                <w:b/>
                <w:bCs/>
                <w:sz w:val="18"/>
                <w:szCs w:val="18"/>
              </w:rPr>
              <w:t xml:space="preserve"> remove the supernatant by aspiration without disturbing the beads.</w:t>
            </w:r>
          </w:p>
        </w:tc>
        <w:tc>
          <w:tcPr>
            <w:tcW w:w="0" w:type="auto"/>
            <w:shd w:val="clear" w:color="auto" w:fill="DCF4FF"/>
            <w:tcMar>
              <w:top w:w="45" w:type="dxa"/>
              <w:left w:w="75" w:type="dxa"/>
              <w:bottom w:w="45" w:type="dxa"/>
              <w:right w:w="75" w:type="dxa"/>
            </w:tcMar>
            <w:vAlign w:val="center"/>
            <w:hideMark/>
          </w:tcPr>
          <w:p w14:paraId="60E614C7" w14:textId="5474A6B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noProof/>
                <w:sz w:val="18"/>
                <w:szCs w:val="18"/>
              </w:rPr>
              <w:drawing>
                <wp:inline distT="0" distB="0" distL="0" distR="0" wp14:anchorId="0AA24F6B" wp14:editId="143871DB">
                  <wp:extent cx="3333750" cy="1847850"/>
                  <wp:effectExtent l="0" t="0" r="0" b="0"/>
                  <wp:docPr id="5" name="Picture 5" descr="Remove the supernatant by a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move the supernatant by aspir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1847850"/>
                          </a:xfrm>
                          <a:prstGeom prst="rect">
                            <a:avLst/>
                          </a:prstGeom>
                          <a:noFill/>
                          <a:ln>
                            <a:noFill/>
                          </a:ln>
                        </pic:spPr>
                      </pic:pic>
                    </a:graphicData>
                  </a:graphic>
                </wp:inline>
              </w:drawing>
            </w:r>
          </w:p>
        </w:tc>
      </w:tr>
      <w:tr w:rsidR="005C7872" w:rsidRPr="005C7872" w14:paraId="600A534E" w14:textId="77777777" w:rsidTr="005C7872">
        <w:tc>
          <w:tcPr>
            <w:tcW w:w="0" w:type="auto"/>
            <w:shd w:val="clear" w:color="auto" w:fill="DCF4FF"/>
            <w:tcMar>
              <w:top w:w="45" w:type="dxa"/>
              <w:left w:w="75" w:type="dxa"/>
              <w:bottom w:w="45" w:type="dxa"/>
              <w:right w:w="75" w:type="dxa"/>
            </w:tcMar>
            <w:vAlign w:val="center"/>
            <w:hideMark/>
          </w:tcPr>
          <w:p w14:paraId="30750CA2"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Add 1 mL of ice-cold lysis buffer or washing buffer, mix, and centrifuge. Remove the supernatant by aspiration without disturbing the beads. Repeat 3-4 times.</w:t>
            </w:r>
          </w:p>
        </w:tc>
        <w:tc>
          <w:tcPr>
            <w:tcW w:w="0" w:type="auto"/>
            <w:shd w:val="clear" w:color="auto" w:fill="DCF4FF"/>
            <w:tcMar>
              <w:top w:w="45" w:type="dxa"/>
              <w:left w:w="75" w:type="dxa"/>
              <w:bottom w:w="45" w:type="dxa"/>
              <w:right w:w="75" w:type="dxa"/>
            </w:tcMar>
            <w:vAlign w:val="center"/>
            <w:hideMark/>
          </w:tcPr>
          <w:p w14:paraId="15726145" w14:textId="65280C68"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noProof/>
                <w:sz w:val="18"/>
                <w:szCs w:val="18"/>
              </w:rPr>
              <w:drawing>
                <wp:inline distT="0" distB="0" distL="0" distR="0" wp14:anchorId="0FCD848E" wp14:editId="54F8BAEE">
                  <wp:extent cx="3333750" cy="1876425"/>
                  <wp:effectExtent l="0" t="0" r="0" b="9525"/>
                  <wp:docPr id="4" name="Picture 4" descr="Add of ice-cold lysis bu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dd of ice-cold lysis buff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0" cy="1876425"/>
                          </a:xfrm>
                          <a:prstGeom prst="rect">
                            <a:avLst/>
                          </a:prstGeom>
                          <a:noFill/>
                          <a:ln>
                            <a:noFill/>
                          </a:ln>
                        </pic:spPr>
                      </pic:pic>
                    </a:graphicData>
                  </a:graphic>
                </wp:inline>
              </w:drawing>
            </w:r>
          </w:p>
        </w:tc>
      </w:tr>
      <w:tr w:rsidR="005C7872" w:rsidRPr="005C7872" w14:paraId="3FA36926" w14:textId="77777777" w:rsidTr="005C7872">
        <w:tc>
          <w:tcPr>
            <w:tcW w:w="0" w:type="auto"/>
            <w:shd w:val="clear" w:color="auto" w:fill="DCF4FF"/>
            <w:tcMar>
              <w:top w:w="45" w:type="dxa"/>
              <w:left w:w="75" w:type="dxa"/>
              <w:bottom w:w="45" w:type="dxa"/>
              <w:right w:w="75" w:type="dxa"/>
            </w:tcMar>
            <w:vAlign w:val="center"/>
            <w:hideMark/>
          </w:tcPr>
          <w:p w14:paraId="072ABCDE" w14:textId="10033A33"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lastRenderedPageBreak/>
              <w:t>&lt;When performing SDS-PAGE or Western blotting&gt;</w:t>
            </w:r>
            <w:r w:rsidRPr="005C7872">
              <w:rPr>
                <w:rFonts w:ascii="Times New Roman" w:eastAsia="Times New Roman" w:hAnsi="Times New Roman" w:cs="Times New Roman"/>
                <w:b/>
                <w:bCs/>
                <w:sz w:val="18"/>
                <w:szCs w:val="18"/>
              </w:rPr>
              <w:br/>
              <w:t>Add 50 µL of 2x SDS sample buffer containing 2-mercaptoethanol (2-ME) and heat for 5 minutes to elute the target protein from the beads. Centrifuge, and use the supernatant for SDS-PAGE.</w:t>
            </w:r>
            <w:r w:rsidRPr="005C7872">
              <w:rPr>
                <w:rFonts w:ascii="Times New Roman" w:eastAsia="Times New Roman" w:hAnsi="Times New Roman" w:cs="Times New Roman"/>
                <w:b/>
                <w:bCs/>
                <w:sz w:val="18"/>
                <w:szCs w:val="18"/>
              </w:rPr>
              <w:br/>
            </w:r>
            <w:r w:rsidRPr="005C7872">
              <w:rPr>
                <w:rFonts w:ascii="Times New Roman" w:eastAsia="Times New Roman" w:hAnsi="Times New Roman" w:cs="Times New Roman"/>
                <w:b/>
                <w:bCs/>
                <w:noProof/>
                <w:sz w:val="18"/>
                <w:szCs w:val="18"/>
              </w:rPr>
              <w:drawing>
                <wp:inline distT="0" distB="0" distL="0" distR="0" wp14:anchorId="5A62F667" wp14:editId="10F4879D">
                  <wp:extent cx="2762250" cy="1028700"/>
                  <wp:effectExtent l="0" t="0" r="0" b="0"/>
                  <wp:docPr id="3" name="Picture 3" descr="IP - elute with SDS sample bu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P - elute with SDS sample buff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0" cy="1028700"/>
                          </a:xfrm>
                          <a:prstGeom prst="rect">
                            <a:avLst/>
                          </a:prstGeom>
                          <a:noFill/>
                          <a:ln>
                            <a:noFill/>
                          </a:ln>
                        </pic:spPr>
                      </pic:pic>
                    </a:graphicData>
                  </a:graphic>
                </wp:inline>
              </w:drawing>
            </w:r>
            <w:r w:rsidRPr="005C7872">
              <w:rPr>
                <w:rFonts w:ascii="Times New Roman" w:eastAsia="Times New Roman" w:hAnsi="Times New Roman" w:cs="Times New Roman"/>
                <w:b/>
                <w:bCs/>
                <w:sz w:val="18"/>
                <w:szCs w:val="18"/>
              </w:rPr>
              <w:t> </w:t>
            </w:r>
            <w:r w:rsidRPr="005C7872">
              <w:rPr>
                <w:rFonts w:ascii="Times New Roman" w:eastAsia="Times New Roman" w:hAnsi="Times New Roman" w:cs="Times New Roman"/>
                <w:b/>
                <w:bCs/>
                <w:sz w:val="18"/>
                <w:szCs w:val="18"/>
              </w:rPr>
              <w:br/>
            </w:r>
            <w:r w:rsidRPr="005C7872">
              <w:rPr>
                <w:rFonts w:ascii="MS Mincho" w:eastAsia="MS Mincho" w:hAnsi="MS Mincho" w:cs="MS Mincho"/>
                <w:b/>
                <w:bCs/>
                <w:sz w:val="18"/>
                <w:szCs w:val="18"/>
              </w:rPr>
              <w:t>※</w:t>
            </w:r>
            <w:r w:rsidRPr="005C7872">
              <w:rPr>
                <w:rFonts w:ascii="Times New Roman" w:eastAsia="Times New Roman" w:hAnsi="Times New Roman" w:cs="Times New Roman"/>
                <w:b/>
                <w:bCs/>
                <w:sz w:val="18"/>
                <w:szCs w:val="18"/>
              </w:rPr>
              <w:t xml:space="preserve">The antibodies are co-eluted, which should be </w:t>
            </w:r>
            <w:proofErr w:type="gramStart"/>
            <w:r w:rsidRPr="005C7872">
              <w:rPr>
                <w:rFonts w:ascii="Times New Roman" w:eastAsia="Times New Roman" w:hAnsi="Times New Roman" w:cs="Times New Roman"/>
                <w:b/>
                <w:bCs/>
                <w:sz w:val="18"/>
                <w:szCs w:val="18"/>
              </w:rPr>
              <w:t>taken into account</w:t>
            </w:r>
            <w:proofErr w:type="gramEnd"/>
            <w:r w:rsidRPr="005C7872">
              <w:rPr>
                <w:rFonts w:ascii="Times New Roman" w:eastAsia="Times New Roman" w:hAnsi="Times New Roman" w:cs="Times New Roman"/>
                <w:b/>
                <w:bCs/>
                <w:sz w:val="18"/>
                <w:szCs w:val="18"/>
              </w:rPr>
              <w:t xml:space="preserve"> when analyzing the data.</w:t>
            </w:r>
          </w:p>
        </w:tc>
        <w:tc>
          <w:tcPr>
            <w:tcW w:w="0" w:type="auto"/>
            <w:shd w:val="clear" w:color="auto" w:fill="DCF4FF"/>
            <w:tcMar>
              <w:top w:w="45" w:type="dxa"/>
              <w:left w:w="75" w:type="dxa"/>
              <w:bottom w:w="45" w:type="dxa"/>
              <w:right w:w="75" w:type="dxa"/>
            </w:tcMar>
            <w:vAlign w:val="center"/>
            <w:hideMark/>
          </w:tcPr>
          <w:p w14:paraId="0D9C48D9" w14:textId="7724F41E"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noProof/>
                <w:sz w:val="18"/>
                <w:szCs w:val="18"/>
              </w:rPr>
              <w:drawing>
                <wp:inline distT="0" distB="0" distL="0" distR="0" wp14:anchorId="2193BDD0" wp14:editId="43F05CCD">
                  <wp:extent cx="3333750" cy="1857375"/>
                  <wp:effectExtent l="0" t="0" r="0" b="9525"/>
                  <wp:docPr id="2" name="Picture 2" descr="Add of 2x SDS sample bu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dd of 2x SDS sample buff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1857375"/>
                          </a:xfrm>
                          <a:prstGeom prst="rect">
                            <a:avLst/>
                          </a:prstGeom>
                          <a:noFill/>
                          <a:ln>
                            <a:noFill/>
                          </a:ln>
                        </pic:spPr>
                      </pic:pic>
                    </a:graphicData>
                  </a:graphic>
                </wp:inline>
              </w:drawing>
            </w:r>
          </w:p>
        </w:tc>
      </w:tr>
      <w:tr w:rsidR="005C7872" w:rsidRPr="005C7872" w14:paraId="259B4D00" w14:textId="77777777" w:rsidTr="005C7872">
        <w:tc>
          <w:tcPr>
            <w:tcW w:w="0" w:type="auto"/>
            <w:gridSpan w:val="2"/>
            <w:shd w:val="clear" w:color="auto" w:fill="DCF4FF"/>
            <w:tcMar>
              <w:top w:w="45" w:type="dxa"/>
              <w:left w:w="75" w:type="dxa"/>
              <w:bottom w:w="45" w:type="dxa"/>
              <w:right w:w="75" w:type="dxa"/>
            </w:tcMar>
            <w:vAlign w:val="center"/>
            <w:hideMark/>
          </w:tcPr>
          <w:p w14:paraId="7B05B91B" w14:textId="77777777" w:rsidR="005C7872" w:rsidRPr="005C7872" w:rsidRDefault="005C7872" w:rsidP="005C7872">
            <w:pPr>
              <w:bidi w:val="0"/>
              <w:spacing w:after="0" w:line="300" w:lineRule="atLeast"/>
              <w:rPr>
                <w:rFonts w:ascii="Times New Roman" w:eastAsia="Times New Roman" w:hAnsi="Times New Roman" w:cs="Times New Roman"/>
                <w:b/>
                <w:bCs/>
                <w:sz w:val="18"/>
                <w:szCs w:val="18"/>
              </w:rPr>
            </w:pPr>
            <w:r w:rsidRPr="005C7872">
              <w:rPr>
                <w:rFonts w:ascii="Times New Roman" w:eastAsia="Times New Roman" w:hAnsi="Times New Roman" w:cs="Times New Roman"/>
                <w:b/>
                <w:bCs/>
                <w:sz w:val="18"/>
                <w:szCs w:val="18"/>
              </w:rPr>
              <w:t>&lt;When extracting the target protein while preserving its activity and native conformation (pull-down assay)&gt;</w:t>
            </w:r>
            <w:r w:rsidRPr="005C7872">
              <w:rPr>
                <w:rFonts w:ascii="Times New Roman" w:eastAsia="Times New Roman" w:hAnsi="Times New Roman" w:cs="Times New Roman"/>
                <w:b/>
                <w:bCs/>
                <w:sz w:val="18"/>
                <w:szCs w:val="18"/>
              </w:rPr>
              <w:br/>
              <w:t>Elute the target protein in neutral pH using an elution peptide and avoid harsh conditions, such as acidic and alkaline solutions.</w:t>
            </w:r>
            <w:r w:rsidRPr="005C7872">
              <w:rPr>
                <w:rFonts w:ascii="Times New Roman" w:eastAsia="Times New Roman" w:hAnsi="Times New Roman" w:cs="Times New Roman"/>
                <w:b/>
                <w:bCs/>
                <w:sz w:val="18"/>
                <w:szCs w:val="18"/>
              </w:rPr>
              <w:br/>
            </w:r>
            <w:hyperlink r:id="rId27" w:history="1">
              <w:r w:rsidRPr="005C7872">
                <w:rPr>
                  <w:rFonts w:ascii="Times New Roman" w:eastAsia="Times New Roman" w:hAnsi="Times New Roman" w:cs="Times New Roman"/>
                  <w:b/>
                  <w:bCs/>
                  <w:color w:val="0078B7"/>
                  <w:sz w:val="18"/>
                  <w:szCs w:val="18"/>
                </w:rPr>
                <w:t>[Related topics] Pull-down assay experiments using Tagged protein purification kits</w:t>
              </w:r>
            </w:hyperlink>
          </w:p>
        </w:tc>
      </w:tr>
    </w:tbl>
    <w:p w14:paraId="16FFB5D1" w14:textId="77777777" w:rsidR="00B426A9" w:rsidRDefault="00B426A9" w:rsidP="002C07D8">
      <w:pPr>
        <w:bidi w:val="0"/>
        <w:spacing w:after="0" w:line="240" w:lineRule="auto"/>
        <w:rPr>
          <w:rFonts w:ascii="Meiryo" w:eastAsia="Meiryo" w:hAnsi="Meiryo" w:cs="Meiryo"/>
          <w:color w:val="000000"/>
          <w:sz w:val="27"/>
          <w:szCs w:val="27"/>
        </w:rPr>
      </w:pPr>
    </w:p>
    <w:p w14:paraId="687729F9" w14:textId="77777777" w:rsidR="00B426A9" w:rsidRDefault="00B426A9" w:rsidP="00B426A9">
      <w:pPr>
        <w:bidi w:val="0"/>
        <w:spacing w:after="0" w:line="240" w:lineRule="auto"/>
        <w:rPr>
          <w:rFonts w:ascii="Meiryo" w:eastAsia="Meiryo" w:hAnsi="Meiryo" w:cs="Meiryo"/>
          <w:b/>
          <w:bCs/>
          <w:color w:val="C00000"/>
          <w:sz w:val="27"/>
          <w:szCs w:val="27"/>
        </w:rPr>
      </w:pPr>
    </w:p>
    <w:p w14:paraId="054D5DAE" w14:textId="77777777" w:rsidR="00B426A9" w:rsidRDefault="00B426A9" w:rsidP="00B426A9">
      <w:pPr>
        <w:bidi w:val="0"/>
        <w:spacing w:after="0" w:line="240" w:lineRule="auto"/>
        <w:rPr>
          <w:rFonts w:ascii="Meiryo" w:eastAsia="Meiryo" w:hAnsi="Meiryo" w:cs="Meiryo"/>
          <w:b/>
          <w:bCs/>
          <w:color w:val="C00000"/>
          <w:sz w:val="27"/>
          <w:szCs w:val="27"/>
        </w:rPr>
      </w:pPr>
    </w:p>
    <w:p w14:paraId="651098B6" w14:textId="77777777" w:rsidR="00B426A9" w:rsidRDefault="00B426A9" w:rsidP="00B426A9">
      <w:pPr>
        <w:bidi w:val="0"/>
        <w:spacing w:after="0" w:line="240" w:lineRule="auto"/>
        <w:rPr>
          <w:rFonts w:ascii="Meiryo" w:eastAsia="Meiryo" w:hAnsi="Meiryo" w:cs="Meiryo"/>
          <w:b/>
          <w:bCs/>
          <w:color w:val="C00000"/>
          <w:sz w:val="27"/>
          <w:szCs w:val="27"/>
        </w:rPr>
      </w:pPr>
    </w:p>
    <w:p w14:paraId="70395CB1" w14:textId="77777777" w:rsidR="00B426A9" w:rsidRDefault="00B426A9" w:rsidP="00B426A9">
      <w:pPr>
        <w:bidi w:val="0"/>
        <w:spacing w:after="0" w:line="240" w:lineRule="auto"/>
        <w:rPr>
          <w:rFonts w:ascii="Meiryo" w:eastAsia="Meiryo" w:hAnsi="Meiryo" w:cs="Meiryo"/>
          <w:b/>
          <w:bCs/>
          <w:color w:val="C00000"/>
          <w:sz w:val="27"/>
          <w:szCs w:val="27"/>
        </w:rPr>
      </w:pPr>
    </w:p>
    <w:p w14:paraId="6BA94668" w14:textId="77777777" w:rsidR="00B426A9" w:rsidRDefault="00B426A9" w:rsidP="00B426A9">
      <w:pPr>
        <w:bidi w:val="0"/>
        <w:spacing w:after="0" w:line="240" w:lineRule="auto"/>
        <w:rPr>
          <w:rFonts w:ascii="Meiryo" w:eastAsia="Meiryo" w:hAnsi="Meiryo" w:cs="Meiryo"/>
          <w:b/>
          <w:bCs/>
          <w:color w:val="C00000"/>
          <w:sz w:val="27"/>
          <w:szCs w:val="27"/>
        </w:rPr>
      </w:pPr>
    </w:p>
    <w:p w14:paraId="6C76D5CF" w14:textId="77777777" w:rsidR="00B426A9" w:rsidRDefault="00B426A9" w:rsidP="00B426A9">
      <w:pPr>
        <w:bidi w:val="0"/>
        <w:spacing w:after="0" w:line="240" w:lineRule="auto"/>
        <w:rPr>
          <w:rFonts w:ascii="Meiryo" w:eastAsia="Meiryo" w:hAnsi="Meiryo" w:cs="Meiryo"/>
          <w:b/>
          <w:bCs/>
          <w:color w:val="C00000"/>
          <w:sz w:val="27"/>
          <w:szCs w:val="27"/>
        </w:rPr>
      </w:pPr>
    </w:p>
    <w:p w14:paraId="4DC324A7" w14:textId="77777777" w:rsidR="00B426A9" w:rsidRDefault="00B426A9" w:rsidP="00B426A9">
      <w:pPr>
        <w:bidi w:val="0"/>
        <w:spacing w:after="0" w:line="240" w:lineRule="auto"/>
        <w:rPr>
          <w:rFonts w:ascii="Meiryo" w:eastAsia="Meiryo" w:hAnsi="Meiryo" w:cs="Meiryo"/>
          <w:b/>
          <w:bCs/>
          <w:color w:val="C00000"/>
          <w:sz w:val="27"/>
          <w:szCs w:val="27"/>
        </w:rPr>
      </w:pPr>
    </w:p>
    <w:p w14:paraId="114D23A7" w14:textId="77777777" w:rsidR="00B426A9" w:rsidRDefault="00B426A9" w:rsidP="00B426A9">
      <w:pPr>
        <w:bidi w:val="0"/>
        <w:spacing w:after="0" w:line="240" w:lineRule="auto"/>
        <w:rPr>
          <w:rFonts w:ascii="Meiryo" w:eastAsia="Meiryo" w:hAnsi="Meiryo" w:cs="Meiryo"/>
          <w:b/>
          <w:bCs/>
          <w:color w:val="C00000"/>
          <w:sz w:val="27"/>
          <w:szCs w:val="27"/>
        </w:rPr>
      </w:pPr>
    </w:p>
    <w:p w14:paraId="3A0924BD" w14:textId="77777777" w:rsidR="00B426A9" w:rsidRDefault="00B426A9" w:rsidP="00B426A9">
      <w:pPr>
        <w:bidi w:val="0"/>
        <w:spacing w:after="0" w:line="240" w:lineRule="auto"/>
        <w:rPr>
          <w:rFonts w:ascii="Meiryo" w:eastAsia="Meiryo" w:hAnsi="Meiryo" w:cs="Meiryo"/>
          <w:b/>
          <w:bCs/>
          <w:color w:val="C00000"/>
          <w:sz w:val="27"/>
          <w:szCs w:val="27"/>
        </w:rPr>
      </w:pPr>
    </w:p>
    <w:p w14:paraId="420AE3EC" w14:textId="77777777" w:rsidR="00B426A9" w:rsidRDefault="00B426A9" w:rsidP="00B426A9">
      <w:pPr>
        <w:bidi w:val="0"/>
        <w:spacing w:after="0" w:line="240" w:lineRule="auto"/>
        <w:rPr>
          <w:rFonts w:ascii="Meiryo" w:eastAsia="Meiryo" w:hAnsi="Meiryo" w:cs="Meiryo"/>
          <w:b/>
          <w:bCs/>
          <w:color w:val="C00000"/>
          <w:sz w:val="27"/>
          <w:szCs w:val="27"/>
        </w:rPr>
      </w:pPr>
    </w:p>
    <w:p w14:paraId="658C6838" w14:textId="77777777" w:rsidR="00B426A9" w:rsidRDefault="00B426A9" w:rsidP="00B426A9">
      <w:pPr>
        <w:bidi w:val="0"/>
        <w:spacing w:after="0" w:line="240" w:lineRule="auto"/>
        <w:rPr>
          <w:rFonts w:ascii="Meiryo" w:eastAsia="Meiryo" w:hAnsi="Meiryo" w:cs="Meiryo"/>
          <w:b/>
          <w:bCs/>
          <w:color w:val="C00000"/>
          <w:sz w:val="27"/>
          <w:szCs w:val="27"/>
        </w:rPr>
      </w:pPr>
    </w:p>
    <w:p w14:paraId="16B71738" w14:textId="77777777" w:rsidR="00B426A9" w:rsidRDefault="00B426A9" w:rsidP="00B426A9">
      <w:pPr>
        <w:bidi w:val="0"/>
        <w:spacing w:after="0" w:line="240" w:lineRule="auto"/>
        <w:rPr>
          <w:rFonts w:ascii="Meiryo" w:eastAsia="Meiryo" w:hAnsi="Meiryo" w:cs="Meiryo"/>
          <w:b/>
          <w:bCs/>
          <w:color w:val="C00000"/>
          <w:sz w:val="27"/>
          <w:szCs w:val="27"/>
        </w:rPr>
      </w:pPr>
    </w:p>
    <w:p w14:paraId="42656123" w14:textId="77777777" w:rsidR="00B426A9" w:rsidRDefault="00B426A9" w:rsidP="00B426A9">
      <w:pPr>
        <w:bidi w:val="0"/>
        <w:spacing w:after="0" w:line="240" w:lineRule="auto"/>
        <w:rPr>
          <w:rFonts w:ascii="Meiryo" w:eastAsia="Meiryo" w:hAnsi="Meiryo" w:cs="Meiryo"/>
          <w:b/>
          <w:bCs/>
          <w:color w:val="C00000"/>
          <w:sz w:val="27"/>
          <w:szCs w:val="27"/>
        </w:rPr>
      </w:pPr>
    </w:p>
    <w:p w14:paraId="782AA963" w14:textId="77777777" w:rsidR="00B426A9" w:rsidRDefault="00B426A9" w:rsidP="00B426A9">
      <w:pPr>
        <w:bidi w:val="0"/>
        <w:spacing w:after="0" w:line="240" w:lineRule="auto"/>
        <w:rPr>
          <w:rFonts w:ascii="Meiryo" w:eastAsia="Meiryo" w:hAnsi="Meiryo" w:cs="Meiryo"/>
          <w:b/>
          <w:bCs/>
          <w:color w:val="C00000"/>
          <w:sz w:val="27"/>
          <w:szCs w:val="27"/>
        </w:rPr>
      </w:pPr>
    </w:p>
    <w:p w14:paraId="02AB2FA7" w14:textId="77777777" w:rsidR="00B426A9" w:rsidRDefault="00B426A9" w:rsidP="00B426A9">
      <w:pPr>
        <w:bidi w:val="0"/>
        <w:spacing w:after="0" w:line="240" w:lineRule="auto"/>
        <w:rPr>
          <w:rFonts w:ascii="Meiryo" w:eastAsia="Meiryo" w:hAnsi="Meiryo" w:cs="Meiryo"/>
          <w:b/>
          <w:bCs/>
          <w:color w:val="C00000"/>
          <w:sz w:val="27"/>
          <w:szCs w:val="27"/>
        </w:rPr>
      </w:pPr>
    </w:p>
    <w:p w14:paraId="1EA2DD6B" w14:textId="77777777" w:rsidR="00B426A9" w:rsidRDefault="00B426A9" w:rsidP="00B426A9">
      <w:pPr>
        <w:bidi w:val="0"/>
        <w:spacing w:after="0" w:line="240" w:lineRule="auto"/>
        <w:rPr>
          <w:rFonts w:ascii="Meiryo" w:eastAsia="Meiryo" w:hAnsi="Meiryo" w:cs="Meiryo"/>
          <w:b/>
          <w:bCs/>
          <w:color w:val="C00000"/>
          <w:sz w:val="27"/>
          <w:szCs w:val="27"/>
        </w:rPr>
      </w:pPr>
    </w:p>
    <w:p w14:paraId="75E3F890" w14:textId="27630C9D" w:rsidR="002C07D8" w:rsidRDefault="002C07D8" w:rsidP="00B426A9">
      <w:pPr>
        <w:bidi w:val="0"/>
        <w:spacing w:after="0" w:line="240" w:lineRule="auto"/>
        <w:rPr>
          <w:rFonts w:ascii="Meiryo" w:eastAsia="Meiryo" w:hAnsi="Meiryo" w:cs="Meiryo"/>
          <w:b/>
          <w:bCs/>
          <w:color w:val="4472C4" w:themeColor="accent1"/>
          <w:sz w:val="27"/>
          <w:szCs w:val="27"/>
        </w:rPr>
      </w:pPr>
      <w:bookmarkStart w:id="0" w:name="_GoBack"/>
      <w:r w:rsidRPr="00C86E40">
        <w:rPr>
          <w:rFonts w:ascii="Meiryo" w:eastAsia="Meiryo" w:hAnsi="Meiryo" w:cs="Meiryo"/>
          <w:b/>
          <w:bCs/>
          <w:color w:val="4472C4" w:themeColor="accent1"/>
          <w:sz w:val="27"/>
          <w:szCs w:val="27"/>
        </w:rPr>
        <w:lastRenderedPageBreak/>
        <w:t>Immunoprecipitation Technique</w:t>
      </w:r>
    </w:p>
    <w:bookmarkEnd w:id="0"/>
    <w:p w14:paraId="1DE7B3F6" w14:textId="77777777" w:rsidR="007E1D82" w:rsidRPr="00C86E40" w:rsidRDefault="007E1D82" w:rsidP="007E1D82">
      <w:pPr>
        <w:bidi w:val="0"/>
        <w:spacing w:after="0" w:line="240" w:lineRule="auto"/>
        <w:rPr>
          <w:rFonts w:ascii="Meiryo" w:eastAsia="Meiryo" w:hAnsi="Meiryo" w:cs="Meiryo"/>
          <w:b/>
          <w:bCs/>
          <w:color w:val="4472C4" w:themeColor="accent1"/>
          <w:sz w:val="27"/>
          <w:szCs w:val="27"/>
        </w:rPr>
      </w:pPr>
    </w:p>
    <w:p w14:paraId="405854F4" w14:textId="77777777" w:rsidR="002C07D8" w:rsidRPr="0053129C" w:rsidRDefault="002C07D8" w:rsidP="0053129C">
      <w:pPr>
        <w:shd w:val="clear" w:color="auto" w:fill="FFFFFF"/>
        <w:bidi w:val="0"/>
        <w:spacing w:line="360" w:lineRule="atLeast"/>
        <w:jc w:val="both"/>
        <w:rPr>
          <w:rFonts w:asciiTheme="majorBidi" w:hAnsiTheme="majorBidi" w:cstheme="majorBidi"/>
          <w:color w:val="333333"/>
          <w:spacing w:val="8"/>
          <w:sz w:val="24"/>
          <w:szCs w:val="24"/>
        </w:rPr>
      </w:pPr>
      <w:r w:rsidRPr="0053129C">
        <w:rPr>
          <w:rFonts w:asciiTheme="majorBidi" w:hAnsiTheme="majorBidi" w:cstheme="majorBidi"/>
          <w:color w:val="333333"/>
          <w:spacing w:val="8"/>
          <w:sz w:val="24"/>
          <w:szCs w:val="24"/>
        </w:rPr>
        <w:t xml:space="preserve">Immunoprecipitation (IP) is the small-scale affinity purification of antigens using a specific antibody that is immobilized to a solid support such as magnetic particles or agarose resin. Immunoprecipitation is one of the most widely used methods for isolation of proteins and other biomolecules from cell or tissue lysates </w:t>
      </w:r>
      <w:proofErr w:type="gramStart"/>
      <w:r w:rsidRPr="0053129C">
        <w:rPr>
          <w:rFonts w:asciiTheme="majorBidi" w:hAnsiTheme="majorBidi" w:cstheme="majorBidi"/>
          <w:color w:val="333333"/>
          <w:spacing w:val="8"/>
          <w:sz w:val="24"/>
          <w:szCs w:val="24"/>
        </w:rPr>
        <w:t>for the purpose of</w:t>
      </w:r>
      <w:proofErr w:type="gramEnd"/>
      <w:r w:rsidRPr="0053129C">
        <w:rPr>
          <w:rFonts w:asciiTheme="majorBidi" w:hAnsiTheme="majorBidi" w:cstheme="majorBidi"/>
          <w:color w:val="333333"/>
          <w:spacing w:val="8"/>
          <w:sz w:val="24"/>
          <w:szCs w:val="24"/>
        </w:rPr>
        <w:t xml:space="preserve"> subsequent detection by western blotting and other assay techniques.</w:t>
      </w:r>
    </w:p>
    <w:p w14:paraId="60FC1620" w14:textId="77777777" w:rsidR="002C07D8" w:rsidRDefault="002C07D8" w:rsidP="002C07D8">
      <w:pPr>
        <w:pStyle w:val="Heading2"/>
        <w:shd w:val="clear" w:color="auto" w:fill="FFFFFF"/>
        <w:spacing w:before="75" w:beforeAutospacing="0" w:after="165" w:afterAutospacing="0" w:line="347" w:lineRule="atLeast"/>
        <w:rPr>
          <w:rFonts w:ascii="Helvetica" w:hAnsi="Helvetica" w:cs="Helvetica"/>
          <w:b w:val="0"/>
          <w:bCs w:val="0"/>
          <w:color w:val="333333"/>
          <w:spacing w:val="8"/>
          <w:sz w:val="33"/>
          <w:szCs w:val="33"/>
        </w:rPr>
      </w:pPr>
      <w:r>
        <w:rPr>
          <w:rFonts w:ascii="Helvetica" w:hAnsi="Helvetica" w:cs="Helvetica"/>
          <w:b w:val="0"/>
          <w:bCs w:val="0"/>
          <w:color w:val="333333"/>
          <w:spacing w:val="8"/>
          <w:sz w:val="33"/>
          <w:szCs w:val="33"/>
        </w:rPr>
        <w:t>What is immunoprecipitation? How does IP work?</w:t>
      </w:r>
    </w:p>
    <w:p w14:paraId="41E9A88F" w14:textId="77777777" w:rsidR="002C07D8" w:rsidRPr="002B7F14" w:rsidRDefault="002C07D8" w:rsidP="002B7F14">
      <w:pPr>
        <w:shd w:val="clear" w:color="auto" w:fill="FFFFFF"/>
        <w:bidi w:val="0"/>
        <w:spacing w:line="360" w:lineRule="atLeast"/>
        <w:jc w:val="both"/>
        <w:rPr>
          <w:rFonts w:asciiTheme="majorBidi" w:hAnsiTheme="majorBidi" w:cstheme="majorBidi"/>
          <w:color w:val="333333"/>
          <w:spacing w:val="8"/>
          <w:sz w:val="24"/>
          <w:szCs w:val="24"/>
        </w:rPr>
      </w:pPr>
      <w:r w:rsidRPr="002B7F14">
        <w:rPr>
          <w:rFonts w:asciiTheme="majorBidi" w:hAnsiTheme="majorBidi" w:cstheme="majorBidi"/>
          <w:color w:val="333333"/>
          <w:spacing w:val="8"/>
          <w:sz w:val="24"/>
          <w:szCs w:val="24"/>
        </w:rPr>
        <w:t xml:space="preserve">Immunoprecipitation was first developed as an adaptation of traditional column affinity chromatography, which involves allowing sample, wash, and other solutions to pass through a column that is packed with porous resin (typically beaded agarose) onto which a target-specific antibody has been immobilized. However, instead of using a packed column, immunoprecipitation uses a small amount of resin in a microcentrifuge tube, and incubation steps are performed in a batch-wise manner. For each step, solution is added to the beads, which are then mixed and incubated together as a slurry (i.e., the beads are suspended in the solution). At the end of each incubation step, the beads are pelleted to the bottom of the tube by centrifugation (or a magnet; see below) so that the solution can be removed using a </w:t>
      </w:r>
      <w:proofErr w:type="spellStart"/>
      <w:r w:rsidRPr="002B7F14">
        <w:rPr>
          <w:rFonts w:asciiTheme="majorBidi" w:hAnsiTheme="majorBidi" w:cstheme="majorBidi"/>
          <w:color w:val="333333"/>
          <w:spacing w:val="8"/>
          <w:sz w:val="24"/>
          <w:szCs w:val="24"/>
        </w:rPr>
        <w:t>pipet</w:t>
      </w:r>
      <w:proofErr w:type="spellEnd"/>
      <w:r w:rsidRPr="002B7F14">
        <w:rPr>
          <w:rFonts w:asciiTheme="majorBidi" w:hAnsiTheme="majorBidi" w:cstheme="majorBidi"/>
          <w:color w:val="333333"/>
          <w:spacing w:val="8"/>
          <w:sz w:val="24"/>
          <w:szCs w:val="24"/>
        </w:rPr>
        <w:t>.</w:t>
      </w:r>
    </w:p>
    <w:p w14:paraId="3BF4551C" w14:textId="77777777" w:rsidR="002C07D8" w:rsidRPr="002B7F14" w:rsidRDefault="002C07D8" w:rsidP="002B7F14">
      <w:pPr>
        <w:shd w:val="clear" w:color="auto" w:fill="FFFFFF"/>
        <w:bidi w:val="0"/>
        <w:spacing w:line="360" w:lineRule="atLeast"/>
        <w:jc w:val="both"/>
        <w:rPr>
          <w:rFonts w:asciiTheme="majorBidi" w:hAnsiTheme="majorBidi" w:cstheme="majorBidi"/>
          <w:color w:val="333333"/>
          <w:spacing w:val="8"/>
          <w:sz w:val="24"/>
          <w:szCs w:val="24"/>
        </w:rPr>
      </w:pPr>
      <w:r w:rsidRPr="002B7F14">
        <w:rPr>
          <w:rFonts w:asciiTheme="majorBidi" w:hAnsiTheme="majorBidi" w:cstheme="majorBidi"/>
          <w:color w:val="333333"/>
          <w:spacing w:val="8"/>
          <w:sz w:val="24"/>
          <w:szCs w:val="24"/>
        </w:rPr>
        <w:t>Unlike column affinity chromatography, the goal of immunoprecipitation is to isolate just enough protein to be able to measure it by western blotting or other semi-quantitative or quantitative assay methods. Usually treated and untreated samples are compared to assess the relative amount of the protein of interest. The basic protocol for performing an IP is diagrammed below, where the order (sequence) of steps can be done in two different ways.</w:t>
      </w:r>
    </w:p>
    <w:p w14:paraId="2D9A05BE" w14:textId="77777777" w:rsidR="007B03F6" w:rsidRDefault="002C07D8" w:rsidP="002C07D8">
      <w:pPr>
        <w:pStyle w:val="NormalWeb"/>
        <w:shd w:val="clear" w:color="auto" w:fill="FFFFFF"/>
        <w:spacing w:before="0" w:beforeAutospacing="0" w:after="300" w:afterAutospacing="0"/>
        <w:rPr>
          <w:rFonts w:ascii="Helvetica" w:hAnsi="Helvetica" w:cs="Helvetica"/>
          <w:b/>
          <w:bCs/>
          <w:color w:val="333333"/>
          <w:sz w:val="17"/>
          <w:szCs w:val="17"/>
        </w:rPr>
      </w:pPr>
      <w:r>
        <w:rPr>
          <w:rFonts w:ascii="Meiryo" w:eastAsia="Meiryo" w:hAnsi="Meiryo" w:cs="Meiryo" w:hint="eastAsia"/>
          <w:noProof/>
          <w:color w:val="000000"/>
          <w:sz w:val="27"/>
          <w:szCs w:val="27"/>
        </w:rPr>
        <w:lastRenderedPageBreak/>
        <w:drawing>
          <wp:inline distT="0" distB="0" distL="0" distR="0" wp14:anchorId="37180DB2" wp14:editId="5CDE719A">
            <wp:extent cx="4429125" cy="6477000"/>
            <wp:effectExtent l="0" t="0" r="9525" b="0"/>
            <wp:docPr id="28" name="Picture 28" descr="C:\Users\sata lap\AppData\Local\Microsoft\Windows\Temporary Internet Files\Content.MSO\7AD91A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ata lap\AppData\Local\Microsoft\Windows\Temporary Internet Files\Content.MSO\7AD91AEF.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9125" cy="6477000"/>
                    </a:xfrm>
                    <a:prstGeom prst="rect">
                      <a:avLst/>
                    </a:prstGeom>
                    <a:noFill/>
                    <a:ln>
                      <a:noFill/>
                    </a:ln>
                  </pic:spPr>
                </pic:pic>
              </a:graphicData>
            </a:graphic>
          </wp:inline>
        </w:drawing>
      </w:r>
      <w:r>
        <w:rPr>
          <w:rFonts w:ascii="Helvetica" w:hAnsi="Helvetica" w:cs="Helvetica"/>
          <w:b/>
          <w:bCs/>
          <w:color w:val="333333"/>
          <w:sz w:val="17"/>
          <w:szCs w:val="17"/>
        </w:rPr>
        <w:t xml:space="preserve"> </w:t>
      </w:r>
    </w:p>
    <w:p w14:paraId="2771E0E0" w14:textId="55506302" w:rsidR="002C07D8" w:rsidRDefault="007B03F6" w:rsidP="007B03F6">
      <w:pPr>
        <w:pStyle w:val="NormalWeb"/>
        <w:shd w:val="clear" w:color="auto" w:fill="FFFFFF"/>
        <w:spacing w:before="0" w:beforeAutospacing="0" w:after="300" w:afterAutospacing="0"/>
        <w:rPr>
          <w:rFonts w:ascii="Helvetica" w:hAnsi="Helvetica" w:cs="Helvetica"/>
          <w:color w:val="333333"/>
          <w:sz w:val="20"/>
          <w:szCs w:val="20"/>
        </w:rPr>
      </w:pPr>
      <w:r>
        <w:rPr>
          <w:rFonts w:ascii="Helvetica" w:hAnsi="Helvetica" w:cs="Helvetica"/>
          <w:b/>
          <w:bCs/>
          <w:color w:val="333333"/>
          <w:sz w:val="17"/>
          <w:szCs w:val="17"/>
        </w:rPr>
        <w:t xml:space="preserve">Diagram of </w:t>
      </w:r>
      <w:r w:rsidR="002C07D8">
        <w:rPr>
          <w:rFonts w:ascii="Helvetica" w:hAnsi="Helvetica" w:cs="Helvetica"/>
          <w:b/>
          <w:bCs/>
          <w:color w:val="333333"/>
          <w:sz w:val="17"/>
          <w:szCs w:val="17"/>
        </w:rPr>
        <w:t>immunoprecipitation (IP) using either pre-immobilized or free antibodies</w:t>
      </w:r>
      <w:r w:rsidR="002C07D8">
        <w:rPr>
          <w:rFonts w:ascii="Helvetica" w:hAnsi="Helvetica" w:cs="Helvetica"/>
          <w:color w:val="333333"/>
          <w:sz w:val="17"/>
          <w:szCs w:val="17"/>
        </w:rPr>
        <w:t>. Each step involves incubation, followed by bead collection (centrifugation or magnetic) and removal of the solution. Wash steps are also included after each incubation step. Elution during the final step typically involves heating the beads in sample loading buffer for polyacrylamide gel electrophoresis (SDS-PAGE), which results in denaturation of the proteins (including the antibody) and irreparable damage to the beads, which are discarded.</w:t>
      </w:r>
    </w:p>
    <w:p w14:paraId="56CCB2B6" w14:textId="77777777" w:rsidR="002C07D8" w:rsidRPr="002B7F14" w:rsidRDefault="002C07D8" w:rsidP="002B7F14">
      <w:pPr>
        <w:shd w:val="clear" w:color="auto" w:fill="FFFFFF"/>
        <w:bidi w:val="0"/>
        <w:spacing w:line="360" w:lineRule="atLeast"/>
        <w:jc w:val="both"/>
        <w:rPr>
          <w:rFonts w:asciiTheme="majorBidi" w:hAnsiTheme="majorBidi" w:cstheme="majorBidi"/>
          <w:color w:val="333333"/>
          <w:spacing w:val="8"/>
          <w:sz w:val="24"/>
          <w:szCs w:val="24"/>
        </w:rPr>
      </w:pPr>
      <w:r w:rsidRPr="002B7F14">
        <w:rPr>
          <w:rFonts w:asciiTheme="majorBidi" w:hAnsiTheme="majorBidi" w:cstheme="majorBidi"/>
          <w:color w:val="333333"/>
          <w:spacing w:val="8"/>
          <w:sz w:val="24"/>
          <w:szCs w:val="24"/>
        </w:rPr>
        <w:t xml:space="preserve">In one sequence (left), an antibody (monoclonal or polyclonal) against a specific protein is pre-immobilized onto an insoluble support, such as agarose or magnetic beads, and then incubated with a cell lysate containing the target protein. During the incubation period, gentle agitation of the lysate allows the target antigen to bind to the immobilized antibody. The immobilized immune </w:t>
      </w:r>
      <w:r w:rsidRPr="002B7F14">
        <w:rPr>
          <w:rFonts w:asciiTheme="majorBidi" w:hAnsiTheme="majorBidi" w:cstheme="majorBidi"/>
          <w:color w:val="333333"/>
          <w:spacing w:val="8"/>
          <w:sz w:val="24"/>
          <w:szCs w:val="24"/>
        </w:rPr>
        <w:lastRenderedPageBreak/>
        <w:t>complexes are then collected from the lysate, eluted from the support and analyzed based on the nature of the target antigen.</w:t>
      </w:r>
    </w:p>
    <w:p w14:paraId="05F0D8F2" w14:textId="77777777" w:rsidR="002C07D8" w:rsidRPr="002B7F14" w:rsidRDefault="002C07D8" w:rsidP="002B7F14">
      <w:pPr>
        <w:shd w:val="clear" w:color="auto" w:fill="FFFFFF"/>
        <w:bidi w:val="0"/>
        <w:spacing w:line="360" w:lineRule="atLeast"/>
        <w:jc w:val="both"/>
        <w:rPr>
          <w:rFonts w:asciiTheme="majorBidi" w:hAnsiTheme="majorBidi" w:cstheme="majorBidi"/>
          <w:color w:val="333333"/>
          <w:spacing w:val="8"/>
          <w:sz w:val="24"/>
          <w:szCs w:val="24"/>
        </w:rPr>
      </w:pPr>
      <w:r w:rsidRPr="002B7F14">
        <w:rPr>
          <w:rFonts w:asciiTheme="majorBidi" w:hAnsiTheme="majorBidi" w:cstheme="majorBidi"/>
          <w:color w:val="333333"/>
          <w:spacing w:val="8"/>
          <w:sz w:val="24"/>
          <w:szCs w:val="24"/>
        </w:rPr>
        <w:t xml:space="preserve">Alternatively (right), free, unbound antibody </w:t>
      </w:r>
      <w:proofErr w:type="gramStart"/>
      <w:r w:rsidRPr="002B7F14">
        <w:rPr>
          <w:rFonts w:asciiTheme="majorBidi" w:hAnsiTheme="majorBidi" w:cstheme="majorBidi"/>
          <w:color w:val="333333"/>
          <w:spacing w:val="8"/>
          <w:sz w:val="24"/>
          <w:szCs w:val="24"/>
        </w:rPr>
        <w:t>is allowed to</w:t>
      </w:r>
      <w:proofErr w:type="gramEnd"/>
      <w:r w:rsidRPr="002B7F14">
        <w:rPr>
          <w:rFonts w:asciiTheme="majorBidi" w:hAnsiTheme="majorBidi" w:cstheme="majorBidi"/>
          <w:color w:val="333333"/>
          <w:spacing w:val="8"/>
          <w:sz w:val="24"/>
          <w:szCs w:val="24"/>
        </w:rPr>
        <w:t xml:space="preserve"> form immune complexes in the lysate and the complexes are then retrieved by the beads. While the pre-immobilized antibody approach is more commonly used for IP, using free antibody to form immune complexes is beneficial if the target protein is present in low concentrations, the antibody has a weak binding affinity for the antigen or the binding kinetics of the antibody to the antigen are slow</w:t>
      </w:r>
    </w:p>
    <w:p w14:paraId="50C4D4D7" w14:textId="77777777" w:rsidR="002C07D8" w:rsidRDefault="002C07D8" w:rsidP="002C07D8">
      <w:pPr>
        <w:pStyle w:val="Heading2"/>
        <w:shd w:val="clear" w:color="auto" w:fill="FFFFFF"/>
        <w:spacing w:before="75" w:beforeAutospacing="0" w:after="165" w:afterAutospacing="0" w:line="347" w:lineRule="atLeast"/>
        <w:rPr>
          <w:rFonts w:ascii="Helvetica" w:hAnsi="Helvetica" w:cs="Helvetica"/>
          <w:b w:val="0"/>
          <w:bCs w:val="0"/>
          <w:color w:val="333333"/>
          <w:spacing w:val="8"/>
          <w:sz w:val="33"/>
          <w:szCs w:val="33"/>
        </w:rPr>
      </w:pPr>
      <w:r>
        <w:rPr>
          <w:rFonts w:ascii="Helvetica" w:hAnsi="Helvetica" w:cs="Helvetica"/>
          <w:b w:val="0"/>
          <w:bCs w:val="0"/>
          <w:color w:val="333333"/>
          <w:spacing w:val="8"/>
          <w:sz w:val="33"/>
          <w:szCs w:val="33"/>
        </w:rPr>
        <w:t>Magnetic beads vs. agarose resin for immunoprecipitation</w:t>
      </w:r>
    </w:p>
    <w:p w14:paraId="2A260C48" w14:textId="77777777" w:rsidR="002C07D8" w:rsidRPr="002B7F14" w:rsidRDefault="002C07D8" w:rsidP="002B7F14">
      <w:pPr>
        <w:shd w:val="clear" w:color="auto" w:fill="FFFFFF"/>
        <w:bidi w:val="0"/>
        <w:spacing w:line="360" w:lineRule="atLeast"/>
        <w:jc w:val="both"/>
        <w:rPr>
          <w:rFonts w:asciiTheme="majorBidi" w:hAnsiTheme="majorBidi" w:cstheme="majorBidi"/>
          <w:color w:val="333333"/>
          <w:spacing w:val="8"/>
          <w:sz w:val="24"/>
          <w:szCs w:val="24"/>
        </w:rPr>
      </w:pPr>
      <w:r w:rsidRPr="002B7F14">
        <w:rPr>
          <w:rFonts w:asciiTheme="majorBidi" w:hAnsiTheme="majorBidi" w:cstheme="majorBidi"/>
          <w:color w:val="333333"/>
          <w:spacing w:val="8"/>
          <w:sz w:val="24"/>
          <w:szCs w:val="24"/>
        </w:rPr>
        <w:t xml:space="preserve">Because it developed as an adaptation of column affinity chromatography, the IP technique was first done using small aliquots (10–25 µL) of agarose resin in microcentrifuge tubes. Agarose beads are sponge-like structures of varying shapes and sizes (50 to 150 </w:t>
      </w:r>
      <w:proofErr w:type="spellStart"/>
      <w:r w:rsidRPr="002B7F14">
        <w:rPr>
          <w:rFonts w:asciiTheme="majorBidi" w:hAnsiTheme="majorBidi" w:cstheme="majorBidi"/>
          <w:color w:val="333333"/>
          <w:spacing w:val="8"/>
          <w:sz w:val="24"/>
          <w:szCs w:val="24"/>
        </w:rPr>
        <w:t>μm</w:t>
      </w:r>
      <w:proofErr w:type="spellEnd"/>
      <w:r w:rsidRPr="002B7F14">
        <w:rPr>
          <w:rFonts w:asciiTheme="majorBidi" w:hAnsiTheme="majorBidi" w:cstheme="majorBidi"/>
          <w:color w:val="333333"/>
          <w:spacing w:val="8"/>
          <w:sz w:val="24"/>
          <w:szCs w:val="24"/>
        </w:rPr>
        <w:t xml:space="preserve"> diameter). Centrifugation must be used to separate the beads from sample and buffer solutions, either by pelleting the translucent beads and carefully pipetting off the solution or by using a microcentrifuge filter cup to retain the beads and collect the solution in the tube upon centrifugation. These characteristics limit the extent to which agarose-based IP procedures can be scaled down or automated.</w:t>
      </w:r>
    </w:p>
    <w:p w14:paraId="10B1E746" w14:textId="77777777" w:rsidR="002C07D8" w:rsidRPr="002B7F14" w:rsidRDefault="002C07D8" w:rsidP="002B7F14">
      <w:pPr>
        <w:shd w:val="clear" w:color="auto" w:fill="FFFFFF"/>
        <w:bidi w:val="0"/>
        <w:spacing w:line="360" w:lineRule="atLeast"/>
        <w:jc w:val="both"/>
        <w:rPr>
          <w:rFonts w:asciiTheme="majorBidi" w:hAnsiTheme="majorBidi" w:cstheme="majorBidi"/>
          <w:color w:val="333333"/>
          <w:spacing w:val="8"/>
          <w:sz w:val="24"/>
          <w:szCs w:val="24"/>
        </w:rPr>
      </w:pPr>
      <w:r w:rsidRPr="002B7F14">
        <w:rPr>
          <w:rFonts w:asciiTheme="majorBidi" w:hAnsiTheme="majorBidi" w:cstheme="majorBidi"/>
          <w:color w:val="333333"/>
          <w:spacing w:val="8"/>
          <w:sz w:val="24"/>
          <w:szCs w:val="24"/>
        </w:rPr>
        <w:t xml:space="preserve">Magnetic particles, such as </w:t>
      </w:r>
      <w:proofErr w:type="spellStart"/>
      <w:r w:rsidRPr="002B7F14">
        <w:rPr>
          <w:rFonts w:asciiTheme="majorBidi" w:hAnsiTheme="majorBidi" w:cstheme="majorBidi"/>
          <w:color w:val="333333"/>
          <w:spacing w:val="8"/>
          <w:sz w:val="24"/>
          <w:szCs w:val="24"/>
        </w:rPr>
        <w:t>Dynabeads</w:t>
      </w:r>
      <w:proofErr w:type="spellEnd"/>
      <w:r w:rsidRPr="002B7F14">
        <w:rPr>
          <w:rFonts w:asciiTheme="majorBidi" w:hAnsiTheme="majorBidi" w:cstheme="majorBidi"/>
          <w:color w:val="333333"/>
          <w:spacing w:val="8"/>
          <w:sz w:val="24"/>
          <w:szCs w:val="24"/>
        </w:rPr>
        <w:t xml:space="preserve"> and Pierce magnetic beads, have largely replaced agarose beads as the preferred support for immunoprecipitation and other micro-scale affinity purification procedures. Magnetic particles are solid and spherical, and antibody binding is limited to the surface of each bead. While they do not have the advantage of a porous center to increase the binding capacity, magnetic beads are significantly smaller than agarose beads (1 to 4 </w:t>
      </w:r>
      <w:proofErr w:type="spellStart"/>
      <w:r w:rsidRPr="002B7F14">
        <w:rPr>
          <w:rFonts w:asciiTheme="majorBidi" w:hAnsiTheme="majorBidi" w:cstheme="majorBidi"/>
          <w:color w:val="333333"/>
          <w:spacing w:val="8"/>
          <w:sz w:val="24"/>
          <w:szCs w:val="24"/>
        </w:rPr>
        <w:t>μm</w:t>
      </w:r>
      <w:proofErr w:type="spellEnd"/>
      <w:r w:rsidRPr="002B7F14">
        <w:rPr>
          <w:rFonts w:asciiTheme="majorBidi" w:hAnsiTheme="majorBidi" w:cstheme="majorBidi"/>
          <w:color w:val="333333"/>
          <w:spacing w:val="8"/>
          <w:sz w:val="24"/>
          <w:szCs w:val="24"/>
        </w:rPr>
        <w:t xml:space="preserve"> diameter), which collectively give them </w:t>
      </w:r>
      <w:proofErr w:type="gramStart"/>
      <w:r w:rsidRPr="002B7F14">
        <w:rPr>
          <w:rFonts w:asciiTheme="majorBidi" w:hAnsiTheme="majorBidi" w:cstheme="majorBidi"/>
          <w:color w:val="333333"/>
          <w:spacing w:val="8"/>
          <w:sz w:val="24"/>
          <w:szCs w:val="24"/>
        </w:rPr>
        <w:t>sufficient</w:t>
      </w:r>
      <w:proofErr w:type="gramEnd"/>
      <w:r w:rsidRPr="002B7F14">
        <w:rPr>
          <w:rFonts w:asciiTheme="majorBidi" w:hAnsiTheme="majorBidi" w:cstheme="majorBidi"/>
          <w:color w:val="333333"/>
          <w:spacing w:val="8"/>
          <w:sz w:val="24"/>
          <w:szCs w:val="24"/>
        </w:rPr>
        <w:t xml:space="preserve"> surface area for high-capacity antibody binding.</w:t>
      </w:r>
    </w:p>
    <w:p w14:paraId="140215FD" w14:textId="77777777" w:rsidR="002C07D8" w:rsidRPr="002B7F14" w:rsidRDefault="002C07D8" w:rsidP="002B7F14">
      <w:pPr>
        <w:shd w:val="clear" w:color="auto" w:fill="FFFFFF"/>
        <w:bidi w:val="0"/>
        <w:spacing w:line="360" w:lineRule="atLeast"/>
        <w:jc w:val="both"/>
        <w:rPr>
          <w:rFonts w:asciiTheme="majorBidi" w:hAnsiTheme="majorBidi" w:cstheme="majorBidi"/>
          <w:color w:val="333333"/>
          <w:spacing w:val="8"/>
          <w:sz w:val="24"/>
          <w:szCs w:val="24"/>
        </w:rPr>
      </w:pPr>
      <w:r w:rsidRPr="002B7F14">
        <w:rPr>
          <w:rFonts w:asciiTheme="majorBidi" w:hAnsiTheme="majorBidi" w:cstheme="majorBidi"/>
          <w:color w:val="333333"/>
          <w:spacing w:val="8"/>
          <w:sz w:val="24"/>
          <w:szCs w:val="24"/>
        </w:rPr>
        <w:t>High-power magnets are used to localize magnetic beads to the side of the incubation tube and out of the way to enable cell lysate aspiration without the risk of also aspirating immune complexes bound to the beads. Magnetic separation avoids centrifugation, which can break weak antibody-antigen binding and cause loss of target protein. They make it easier to manually pipet solutions from the beads, and instrumentation is available to fully automate magnetic bead procedures, even in 96-well microplate formats.</w:t>
      </w:r>
    </w:p>
    <w:p w14:paraId="2F124F2C" w14:textId="77777777" w:rsidR="002C07D8" w:rsidRPr="002B7F14" w:rsidRDefault="002C07D8" w:rsidP="002B7F14">
      <w:pPr>
        <w:shd w:val="clear" w:color="auto" w:fill="FFFFFF"/>
        <w:bidi w:val="0"/>
        <w:spacing w:line="360" w:lineRule="atLeast"/>
        <w:jc w:val="both"/>
        <w:rPr>
          <w:rFonts w:asciiTheme="majorBidi" w:hAnsiTheme="majorBidi" w:cstheme="majorBidi"/>
          <w:color w:val="333333"/>
          <w:spacing w:val="8"/>
          <w:sz w:val="24"/>
          <w:szCs w:val="24"/>
        </w:rPr>
      </w:pPr>
      <w:r w:rsidRPr="002B7F14">
        <w:rPr>
          <w:rFonts w:asciiTheme="majorBidi" w:hAnsiTheme="majorBidi" w:cstheme="majorBidi"/>
          <w:color w:val="333333"/>
          <w:spacing w:val="8"/>
          <w:sz w:val="24"/>
          <w:szCs w:val="24"/>
        </w:rPr>
        <w:lastRenderedPageBreak/>
        <w:t>They make it easier to manually pipet solutions from the beads, and instrumentation is available to fully automate magnetic bead procedures, even in 96-well microplate formats.</w:t>
      </w:r>
    </w:p>
    <w:p w14:paraId="6C7410AA" w14:textId="77777777" w:rsidR="002C07D8" w:rsidRPr="002B7F14" w:rsidRDefault="002C07D8" w:rsidP="002B7F14">
      <w:pPr>
        <w:shd w:val="clear" w:color="auto" w:fill="FFFFFF"/>
        <w:bidi w:val="0"/>
        <w:spacing w:line="360" w:lineRule="atLeast"/>
        <w:jc w:val="both"/>
        <w:rPr>
          <w:rFonts w:asciiTheme="majorBidi" w:hAnsiTheme="majorBidi" w:cstheme="majorBidi"/>
          <w:color w:val="333333"/>
          <w:spacing w:val="8"/>
          <w:sz w:val="24"/>
          <w:szCs w:val="24"/>
        </w:rPr>
      </w:pPr>
      <w:r w:rsidRPr="002B7F14">
        <w:rPr>
          <w:rFonts w:asciiTheme="majorBidi" w:hAnsiTheme="majorBidi" w:cstheme="majorBidi"/>
          <w:color w:val="333333"/>
          <w:spacing w:val="8"/>
          <w:sz w:val="24"/>
          <w:szCs w:val="24"/>
        </w:rPr>
        <w:t>The performance advantages of magnetic beads compared to agarose resin for immunoprecipitation procedures are summarized in the following table and described in detail thereafter. These advantages are supported by current publication trends </w:t>
      </w:r>
      <w:hyperlink r:id="rId29" w:history="1">
        <w:r w:rsidRPr="002B7F14">
          <w:rPr>
            <w:rFonts w:asciiTheme="majorBidi" w:hAnsiTheme="majorBidi" w:cstheme="majorBidi"/>
            <w:color w:val="333333"/>
            <w:spacing w:val="8"/>
            <w:sz w:val="24"/>
            <w:szCs w:val="24"/>
          </w:rPr>
          <w:t>(see summary of data here)</w:t>
        </w:r>
      </w:hyperlink>
      <w:r w:rsidRPr="002B7F14">
        <w:rPr>
          <w:rFonts w:asciiTheme="majorBidi" w:hAnsiTheme="majorBidi" w:cstheme="majorBidi"/>
          <w:color w:val="333333"/>
          <w:spacing w:val="8"/>
          <w:sz w:val="24"/>
          <w:szCs w:val="24"/>
        </w:rPr>
        <w:t>, which show a clear migration from resin-based to magnetic bead methods for IP. </w:t>
      </w:r>
    </w:p>
    <w:p w14:paraId="3BB0471D" w14:textId="35829F75" w:rsidR="002C07D8" w:rsidRDefault="002C07D8" w:rsidP="002C07D8">
      <w:pPr>
        <w:pStyle w:val="NormalWeb"/>
        <w:shd w:val="clear" w:color="auto" w:fill="FFFFFF"/>
        <w:spacing w:before="0" w:beforeAutospacing="0" w:after="300" w:afterAutospacing="0"/>
        <w:jc w:val="center"/>
        <w:rPr>
          <w:rFonts w:ascii="Helvetica" w:hAnsi="Helvetica" w:cs="Helvetica"/>
          <w:color w:val="333333"/>
          <w:sz w:val="20"/>
          <w:szCs w:val="20"/>
        </w:rPr>
      </w:pPr>
      <w:r>
        <w:rPr>
          <w:rFonts w:ascii="Helvetica" w:hAnsi="Helvetica" w:cs="Helvetica"/>
          <w:noProof/>
          <w:color w:val="333333"/>
          <w:sz w:val="20"/>
          <w:szCs w:val="20"/>
        </w:rPr>
        <w:drawing>
          <wp:inline distT="0" distB="0" distL="0" distR="0" wp14:anchorId="4F630285" wp14:editId="43628484">
            <wp:extent cx="5915025" cy="1943100"/>
            <wp:effectExtent l="0" t="0" r="9525" b="0"/>
            <wp:docPr id="26" name="Picture 26" descr="https://www.thermofisher.com/content/dam/LifeTech/global/life-sciences/Protein%20Bio%20-%20Thermo/1115/Mag-vs-Agarose-for-IP-62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thermofisher.com/content/dam/LifeTech/global/life-sciences/Protein%20Bio%20-%20Thermo/1115/Mag-vs-Agarose-for-IP-621px.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025" cy="1943100"/>
                    </a:xfrm>
                    <a:prstGeom prst="rect">
                      <a:avLst/>
                    </a:prstGeom>
                    <a:noFill/>
                    <a:ln>
                      <a:noFill/>
                    </a:ln>
                  </pic:spPr>
                </pic:pic>
              </a:graphicData>
            </a:graphic>
          </wp:inline>
        </w:drawing>
      </w:r>
    </w:p>
    <w:p w14:paraId="74A4F907" w14:textId="77777777" w:rsidR="002C07D8" w:rsidRDefault="002C07D8" w:rsidP="002C07D8">
      <w:pPr>
        <w:pStyle w:val="NormalWeb"/>
        <w:shd w:val="clear" w:color="auto" w:fill="FFFFFF"/>
        <w:spacing w:before="0" w:beforeAutospacing="0" w:after="300" w:afterAutospacing="0"/>
        <w:rPr>
          <w:rFonts w:ascii="Helvetica" w:hAnsi="Helvetica" w:cs="Helvetica"/>
          <w:color w:val="333333"/>
          <w:sz w:val="20"/>
          <w:szCs w:val="20"/>
        </w:rPr>
      </w:pPr>
      <w:r>
        <w:rPr>
          <w:rFonts w:ascii="Helvetica" w:hAnsi="Helvetica" w:cs="Helvetica"/>
          <w:b/>
          <w:bCs/>
          <w:color w:val="333333"/>
          <w:sz w:val="17"/>
          <w:szCs w:val="17"/>
        </w:rPr>
        <w:t>Performance of agarose resin vs magnetic beads in immunoprecipitation (IP) applications</w:t>
      </w:r>
      <w:r>
        <w:rPr>
          <w:rFonts w:ascii="Helvetica" w:hAnsi="Helvetica" w:cs="Helvetica"/>
          <w:color w:val="333333"/>
          <w:sz w:val="17"/>
          <w:szCs w:val="17"/>
        </w:rPr>
        <w:t xml:space="preserve">. This diagram </w:t>
      </w:r>
      <w:proofErr w:type="gramStart"/>
      <w:r>
        <w:rPr>
          <w:rFonts w:ascii="Helvetica" w:hAnsi="Helvetica" w:cs="Helvetica"/>
          <w:color w:val="333333"/>
          <w:sz w:val="17"/>
          <w:szCs w:val="17"/>
        </w:rPr>
        <w:t>compares and contrasts</w:t>
      </w:r>
      <w:proofErr w:type="gramEnd"/>
      <w:r>
        <w:rPr>
          <w:rFonts w:ascii="Helvetica" w:hAnsi="Helvetica" w:cs="Helvetica"/>
          <w:color w:val="333333"/>
          <w:sz w:val="17"/>
          <w:szCs w:val="17"/>
        </w:rPr>
        <w:t xml:space="preserve"> the distinct advantages and disadvantages of using agarose resin vs magnetic beads for immunoprecipitation. </w:t>
      </w:r>
    </w:p>
    <w:p w14:paraId="77F2650B" w14:textId="77777777" w:rsidR="002C07D8" w:rsidRDefault="002C07D8" w:rsidP="002C07D8">
      <w:pPr>
        <w:pStyle w:val="NormalWeb"/>
        <w:shd w:val="clear" w:color="auto" w:fill="FFFFFF"/>
        <w:spacing w:before="0" w:beforeAutospacing="0" w:after="300" w:afterAutospacing="0"/>
        <w:jc w:val="center"/>
        <w:rPr>
          <w:rFonts w:ascii="Helvetica" w:hAnsi="Helvetica" w:cs="Helvetica"/>
          <w:color w:val="333333"/>
          <w:sz w:val="20"/>
          <w:szCs w:val="20"/>
        </w:rPr>
      </w:pPr>
      <w:r>
        <w:rPr>
          <w:rFonts w:ascii="Helvetica" w:hAnsi="Helvetica" w:cs="Helvetica"/>
          <w:color w:val="333333"/>
          <w:sz w:val="20"/>
          <w:szCs w:val="20"/>
        </w:rPr>
        <w:t> </w:t>
      </w:r>
    </w:p>
    <w:p w14:paraId="1A2F02CB" w14:textId="77777777" w:rsidR="002C07D8" w:rsidRDefault="002C07D8" w:rsidP="002C07D8">
      <w:pPr>
        <w:pStyle w:val="Heading3"/>
        <w:shd w:val="clear" w:color="auto" w:fill="FFFFFF"/>
        <w:spacing w:before="165" w:beforeAutospacing="0" w:after="165" w:afterAutospacing="0" w:line="287" w:lineRule="atLeast"/>
        <w:rPr>
          <w:rFonts w:ascii="Helvetica" w:hAnsi="Helvetica" w:cs="Helvetica"/>
          <w:color w:val="333333"/>
          <w:spacing w:val="8"/>
          <w:sz w:val="24"/>
          <w:szCs w:val="24"/>
        </w:rPr>
      </w:pPr>
      <w:r>
        <w:rPr>
          <w:rFonts w:ascii="Helvetica" w:hAnsi="Helvetica" w:cs="Helvetica"/>
          <w:color w:val="333333"/>
          <w:spacing w:val="8"/>
          <w:sz w:val="24"/>
          <w:szCs w:val="24"/>
        </w:rPr>
        <w:t>Details concerning the advantages of magnetic beads for IP</w:t>
      </w:r>
    </w:p>
    <w:p w14:paraId="188ADE8B" w14:textId="77777777" w:rsidR="002C07D8" w:rsidRDefault="002C07D8" w:rsidP="002B7F14">
      <w:pPr>
        <w:pStyle w:val="NormalWeb"/>
        <w:shd w:val="clear" w:color="auto" w:fill="FFFFFF"/>
        <w:spacing w:before="0" w:beforeAutospacing="0" w:after="300" w:afterAutospacing="0"/>
        <w:jc w:val="both"/>
        <w:rPr>
          <w:rFonts w:ascii="Helvetica" w:hAnsi="Helvetica" w:cs="Helvetica"/>
          <w:color w:val="333333"/>
          <w:sz w:val="20"/>
          <w:szCs w:val="20"/>
        </w:rPr>
      </w:pPr>
      <w:r>
        <w:rPr>
          <w:rFonts w:ascii="Helvetica" w:hAnsi="Helvetica" w:cs="Helvetica"/>
          <w:b/>
          <w:bCs/>
          <w:color w:val="333333"/>
          <w:sz w:val="20"/>
          <w:szCs w:val="20"/>
        </w:rPr>
        <w:t>Capacity and yield</w:t>
      </w:r>
      <w:r>
        <w:rPr>
          <w:rFonts w:ascii="Helvetica" w:hAnsi="Helvetica" w:cs="Helvetica"/>
          <w:color w:val="333333"/>
          <w:sz w:val="20"/>
          <w:szCs w:val="20"/>
        </w:rPr>
        <w:t>–</w:t>
      </w:r>
      <w:r w:rsidRPr="002B7F14">
        <w:rPr>
          <w:rFonts w:asciiTheme="majorBidi" w:eastAsiaTheme="minorHAnsi" w:hAnsiTheme="majorBidi" w:cstheme="majorBidi"/>
          <w:color w:val="333333"/>
          <w:spacing w:val="8"/>
        </w:rPr>
        <w:t xml:space="preserve">Because beaded agarose resin </w:t>
      </w:r>
      <w:proofErr w:type="gramStart"/>
      <w:r w:rsidRPr="002B7F14">
        <w:rPr>
          <w:rFonts w:asciiTheme="majorBidi" w:eastAsiaTheme="minorHAnsi" w:hAnsiTheme="majorBidi" w:cstheme="majorBidi"/>
          <w:color w:val="333333"/>
          <w:spacing w:val="8"/>
        </w:rPr>
        <w:t>is</w:t>
      </w:r>
      <w:proofErr w:type="gramEnd"/>
      <w:r w:rsidRPr="002B7F14">
        <w:rPr>
          <w:rFonts w:asciiTheme="majorBidi" w:eastAsiaTheme="minorHAnsi" w:hAnsiTheme="majorBidi" w:cstheme="majorBidi"/>
          <w:color w:val="333333"/>
          <w:spacing w:val="8"/>
        </w:rPr>
        <w:t xml:space="preserve"> porous (sponge-like), it has a large surface-area-to-volume ratio and therefore a high binding capacity for antibody. Magnetic beads are nonporous with a smooth outer surface. Consequently, although they are much smaller than agarose beads, magnetic beads have a lower theoretical binding capacity than agarose. However, individual antibodies immobilized on the sponge-like agarose aren’t always accessible to target proteins (which often exist as large protein complexes) in a sample, and antibody may be lost during the washing steps (centrifugation). By contrast, antibodies bound to the surface of magnetic beads are all accessible to antigen, and the antibody is less likely to be lost during the gentle washing steps (on a magnet). Therefore, even if the antibody-binding capacity is lower compared to agarose, the final antigen yield is often the same or greater with magnetic beads.</w:t>
      </w:r>
    </w:p>
    <w:p w14:paraId="22884833" w14:textId="77777777" w:rsidR="002C07D8" w:rsidRPr="002B7F14" w:rsidRDefault="002C07D8" w:rsidP="002B7F14">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Pr>
          <w:rFonts w:ascii="Helvetica" w:hAnsi="Helvetica" w:cs="Helvetica"/>
          <w:b/>
          <w:bCs/>
          <w:color w:val="333333"/>
          <w:sz w:val="20"/>
          <w:szCs w:val="20"/>
        </w:rPr>
        <w:t>Reproducibility and purity</w:t>
      </w:r>
      <w:r>
        <w:rPr>
          <w:rFonts w:ascii="Helvetica" w:hAnsi="Helvetica" w:cs="Helvetica"/>
          <w:color w:val="333333"/>
          <w:sz w:val="20"/>
          <w:szCs w:val="20"/>
        </w:rPr>
        <w:t>–</w:t>
      </w:r>
      <w:r w:rsidRPr="002B7F14">
        <w:rPr>
          <w:rFonts w:asciiTheme="majorBidi" w:eastAsiaTheme="minorHAnsi" w:hAnsiTheme="majorBidi" w:cstheme="majorBidi"/>
          <w:color w:val="333333"/>
          <w:spacing w:val="8"/>
        </w:rPr>
        <w:t xml:space="preserve">With agarose beads, it is difficult to thoroughly remove buffer without also disturbing and drawing up some of the pelleted resin. With magnetic beads and a magnet, all the beads are held firmly to the side of the tube, so </w:t>
      </w:r>
      <w:proofErr w:type="gramStart"/>
      <w:r w:rsidRPr="002B7F14">
        <w:rPr>
          <w:rFonts w:asciiTheme="majorBidi" w:eastAsiaTheme="minorHAnsi" w:hAnsiTheme="majorBidi" w:cstheme="majorBidi"/>
          <w:color w:val="333333"/>
          <w:spacing w:val="8"/>
        </w:rPr>
        <w:t>all of</w:t>
      </w:r>
      <w:proofErr w:type="gramEnd"/>
      <w:r w:rsidRPr="002B7F14">
        <w:rPr>
          <w:rFonts w:asciiTheme="majorBidi" w:eastAsiaTheme="minorHAnsi" w:hAnsiTheme="majorBidi" w:cstheme="majorBidi"/>
          <w:color w:val="333333"/>
          <w:spacing w:val="8"/>
        </w:rPr>
        <w:t xml:space="preserve"> the buffer can be removed without touching the bead-pellet. Furthermore, agarose typically requires longer incubation times (to enable </w:t>
      </w:r>
      <w:r w:rsidRPr="002B7F14">
        <w:rPr>
          <w:rFonts w:asciiTheme="majorBidi" w:eastAsiaTheme="minorHAnsi" w:hAnsiTheme="majorBidi" w:cstheme="majorBidi"/>
          <w:color w:val="333333"/>
          <w:spacing w:val="8"/>
        </w:rPr>
        <w:lastRenderedPageBreak/>
        <w:t>diffusion of solutions to the internal spaces within) and pre-clearing (to control non-specific bind of unwanted proteins). Because all interactions occur on the outer smooth surface of the magnetic beads, and because they are much more uniform in size, magnetic beads generally provide higher reproducibility and purity compared to agarose. Pre-clearing is usually not necessary with magnetic beads. </w:t>
      </w:r>
    </w:p>
    <w:p w14:paraId="61468DDD" w14:textId="77777777" w:rsidR="002C07D8" w:rsidRPr="002B7F14" w:rsidRDefault="002C07D8" w:rsidP="002B7F14">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Pr>
          <w:rFonts w:ascii="Helvetica" w:hAnsi="Helvetica" w:cs="Helvetica"/>
          <w:b/>
          <w:bCs/>
          <w:color w:val="333333"/>
          <w:sz w:val="20"/>
          <w:szCs w:val="20"/>
        </w:rPr>
        <w:t>Ease of use, speed, and automation</w:t>
      </w:r>
      <w:r>
        <w:rPr>
          <w:rFonts w:ascii="Helvetica" w:hAnsi="Helvetica" w:cs="Helvetica"/>
          <w:color w:val="333333"/>
          <w:sz w:val="20"/>
          <w:szCs w:val="20"/>
        </w:rPr>
        <w:t>–</w:t>
      </w:r>
      <w:r w:rsidRPr="002B7F14">
        <w:rPr>
          <w:rFonts w:asciiTheme="majorBidi" w:eastAsiaTheme="minorHAnsi" w:hAnsiTheme="majorBidi" w:cstheme="majorBidi"/>
          <w:color w:val="333333"/>
          <w:spacing w:val="8"/>
        </w:rPr>
        <w:t xml:space="preserve">Considered together, the </w:t>
      </w:r>
      <w:proofErr w:type="gramStart"/>
      <w:r w:rsidRPr="002B7F14">
        <w:rPr>
          <w:rFonts w:asciiTheme="majorBidi" w:eastAsiaTheme="minorHAnsi" w:hAnsiTheme="majorBidi" w:cstheme="majorBidi"/>
          <w:color w:val="333333"/>
          <w:spacing w:val="8"/>
        </w:rPr>
        <w:t>aforementioned differences</w:t>
      </w:r>
      <w:proofErr w:type="gramEnd"/>
      <w:r w:rsidRPr="002B7F14">
        <w:rPr>
          <w:rFonts w:asciiTheme="majorBidi" w:eastAsiaTheme="minorHAnsi" w:hAnsiTheme="majorBidi" w:cstheme="majorBidi"/>
          <w:color w:val="333333"/>
          <w:spacing w:val="8"/>
        </w:rPr>
        <w:t xml:space="preserve"> between agarose and magnetic beads explain why magnetic beads are now preferred for immunoprecipitation. Because it requires longer incubation times, pre-clearing steps, and several centrifugation steps, agarose-based IP requires considerable manual handling and a total time of 1–1.5 h to perform. By contrast, an individual magnetic bead IP experiment can be completed in about 30 min. </w:t>
      </w:r>
    </w:p>
    <w:p w14:paraId="6ABD401C" w14:textId="77777777" w:rsidR="002C07D8" w:rsidRDefault="002C07D8" w:rsidP="002B7F14">
      <w:pPr>
        <w:pStyle w:val="NormalWeb"/>
        <w:shd w:val="clear" w:color="auto" w:fill="FFFFFF"/>
        <w:spacing w:before="0" w:beforeAutospacing="0" w:after="300" w:afterAutospacing="0"/>
        <w:jc w:val="both"/>
        <w:rPr>
          <w:rFonts w:ascii="Helvetica" w:hAnsi="Helvetica" w:cs="Helvetica"/>
          <w:color w:val="333333"/>
          <w:sz w:val="20"/>
          <w:szCs w:val="20"/>
        </w:rPr>
      </w:pPr>
      <w:r>
        <w:rPr>
          <w:rFonts w:ascii="Helvetica" w:hAnsi="Helvetica" w:cs="Helvetica"/>
          <w:color w:val="333333"/>
          <w:sz w:val="20"/>
          <w:szCs w:val="20"/>
        </w:rPr>
        <w:t>Furthermore, magnetic bead separation lends itself to processing</w:t>
      </w:r>
      <w:r w:rsidRPr="002B7F14">
        <w:rPr>
          <w:rFonts w:asciiTheme="majorBidi" w:eastAsiaTheme="minorHAnsi" w:hAnsiTheme="majorBidi" w:cstheme="majorBidi"/>
          <w:color w:val="333333"/>
          <w:spacing w:val="8"/>
        </w:rPr>
        <w:t xml:space="preserve"> multiple samples easily and rapidly. For example, with a </w:t>
      </w:r>
      <w:hyperlink r:id="rId31" w:history="1">
        <w:r w:rsidRPr="002B7F14">
          <w:rPr>
            <w:rFonts w:asciiTheme="majorBidi" w:eastAsiaTheme="minorHAnsi" w:hAnsiTheme="majorBidi" w:cstheme="majorBidi"/>
            <w:color w:val="333333"/>
            <w:spacing w:val="8"/>
          </w:rPr>
          <w:t>DynaMagTM-2 Magnet</w:t>
        </w:r>
      </w:hyperlink>
      <w:r w:rsidRPr="002B7F14">
        <w:rPr>
          <w:rFonts w:asciiTheme="majorBidi" w:eastAsiaTheme="minorHAnsi" w:hAnsiTheme="majorBidi" w:cstheme="majorBidi"/>
          <w:color w:val="333333"/>
          <w:spacing w:val="8"/>
        </w:rPr>
        <w:t> and accompanying </w:t>
      </w:r>
      <w:hyperlink r:id="rId32" w:history="1">
        <w:r w:rsidRPr="002B7F14">
          <w:rPr>
            <w:rFonts w:asciiTheme="majorBidi" w:eastAsiaTheme="minorHAnsi" w:hAnsiTheme="majorBidi" w:cstheme="majorBidi"/>
            <w:color w:val="333333"/>
            <w:spacing w:val="8"/>
          </w:rPr>
          <w:t>sample rack</w:t>
        </w:r>
      </w:hyperlink>
      <w:r w:rsidRPr="002B7F14">
        <w:rPr>
          <w:rFonts w:asciiTheme="majorBidi" w:eastAsiaTheme="minorHAnsi" w:hAnsiTheme="majorBidi" w:cstheme="majorBidi"/>
          <w:color w:val="333333"/>
          <w:spacing w:val="8"/>
        </w:rPr>
        <w:t>, one can easily process 16 samples at the same time using magnetic beads in microcentrifuge tubes. Also available is a </w:t>
      </w:r>
      <w:hyperlink r:id="rId33" w:history="1">
        <w:r w:rsidRPr="002B7F14">
          <w:rPr>
            <w:rFonts w:asciiTheme="majorBidi" w:eastAsiaTheme="minorHAnsi" w:hAnsiTheme="majorBidi" w:cstheme="majorBidi"/>
            <w:color w:val="333333"/>
            <w:spacing w:val="8"/>
          </w:rPr>
          <w:t>magnet for 96-well plates</w:t>
        </w:r>
      </w:hyperlink>
      <w:r w:rsidRPr="002B7F14">
        <w:rPr>
          <w:rFonts w:asciiTheme="majorBidi" w:eastAsiaTheme="minorHAnsi" w:hAnsiTheme="majorBidi" w:cstheme="majorBidi"/>
          <w:color w:val="333333"/>
          <w:spacing w:val="8"/>
        </w:rPr>
        <w:t>. In fact, entire IP protocols can be automated with magnetic beads using small benchtop instrumentation, such the Thermo Scientific Kingfisher Flex Magnetic Bead Processor.</w:t>
      </w:r>
    </w:p>
    <w:p w14:paraId="3F877922" w14:textId="77777777" w:rsidR="002C07D8" w:rsidRDefault="002C07D8" w:rsidP="002C07D8">
      <w:pPr>
        <w:pStyle w:val="Heading3"/>
        <w:shd w:val="clear" w:color="auto" w:fill="FFFFFF"/>
        <w:spacing w:before="165" w:beforeAutospacing="0" w:after="165" w:afterAutospacing="0" w:line="287" w:lineRule="atLeast"/>
        <w:rPr>
          <w:rFonts w:ascii="Helvetica" w:hAnsi="Helvetica" w:cs="Helvetica"/>
          <w:color w:val="333333"/>
          <w:spacing w:val="8"/>
          <w:sz w:val="24"/>
          <w:szCs w:val="24"/>
        </w:rPr>
      </w:pPr>
      <w:r>
        <w:rPr>
          <w:rFonts w:ascii="Helvetica" w:hAnsi="Helvetica" w:cs="Helvetica"/>
          <w:color w:val="333333"/>
          <w:spacing w:val="8"/>
          <w:sz w:val="24"/>
          <w:szCs w:val="24"/>
        </w:rPr>
        <w:t>Summary of bead options for IP</w:t>
      </w:r>
    </w:p>
    <w:p w14:paraId="4B3ED9DA" w14:textId="77777777" w:rsidR="002C07D8" w:rsidRPr="002B7F14" w:rsidRDefault="002C07D8" w:rsidP="002B7F14">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Pr>
          <w:rFonts w:ascii="Helvetica" w:hAnsi="Helvetica" w:cs="Helvetica"/>
          <w:b/>
          <w:bCs/>
          <w:color w:val="333333"/>
          <w:sz w:val="20"/>
          <w:szCs w:val="20"/>
        </w:rPr>
        <w:t>Use magnetic beads for immunoprecipitation</w:t>
      </w:r>
      <w:r>
        <w:rPr>
          <w:rFonts w:ascii="Helvetica" w:hAnsi="Helvetica" w:cs="Helvetica"/>
          <w:color w:val="333333"/>
          <w:sz w:val="20"/>
          <w:szCs w:val="20"/>
        </w:rPr>
        <w:t> </w:t>
      </w:r>
      <w:r w:rsidRPr="002B7F14">
        <w:rPr>
          <w:rFonts w:asciiTheme="majorBidi" w:eastAsiaTheme="minorHAnsi" w:hAnsiTheme="majorBidi" w:cstheme="majorBidi"/>
          <w:color w:val="333333"/>
          <w:spacing w:val="8"/>
        </w:rPr>
        <w:t>(i.e., when the sample size is &lt; 2 mL). Magnetic beads provide the best balance of capacity/yield, reproducibility, purity, and cost savings for routine small-scale isolation of specific proteins and protein complexes. Magnetic beads are best for manual and automated standard IP, Co-IP, </w:t>
      </w:r>
      <w:proofErr w:type="spellStart"/>
      <w:r w:rsidRPr="002B7F14">
        <w:rPr>
          <w:rFonts w:asciiTheme="majorBidi" w:eastAsiaTheme="minorHAnsi" w:hAnsiTheme="majorBidi" w:cstheme="majorBidi"/>
          <w:color w:val="333333"/>
          <w:spacing w:val="8"/>
        </w:rPr>
        <w:t>ChIP</w:t>
      </w:r>
      <w:proofErr w:type="spellEnd"/>
      <w:r w:rsidRPr="002B7F14">
        <w:rPr>
          <w:rFonts w:asciiTheme="majorBidi" w:eastAsiaTheme="minorHAnsi" w:hAnsiTheme="majorBidi" w:cstheme="majorBidi"/>
          <w:color w:val="333333"/>
          <w:spacing w:val="8"/>
        </w:rPr>
        <w:t>, </w:t>
      </w:r>
      <w:proofErr w:type="spellStart"/>
      <w:r w:rsidRPr="002B7F14">
        <w:rPr>
          <w:rFonts w:asciiTheme="majorBidi" w:eastAsiaTheme="minorHAnsi" w:hAnsiTheme="majorBidi" w:cstheme="majorBidi"/>
          <w:color w:val="333333"/>
          <w:spacing w:val="8"/>
        </w:rPr>
        <w:t>ChIP</w:t>
      </w:r>
      <w:proofErr w:type="spellEnd"/>
      <w:r w:rsidRPr="002B7F14">
        <w:rPr>
          <w:rFonts w:asciiTheme="majorBidi" w:eastAsiaTheme="minorHAnsi" w:hAnsiTheme="majorBidi" w:cstheme="majorBidi"/>
          <w:color w:val="333333"/>
          <w:spacing w:val="8"/>
        </w:rPr>
        <w:t>-Seq, RIP, and pull-down reactions for immediate assay analysis.</w:t>
      </w:r>
    </w:p>
    <w:p w14:paraId="45386B7E" w14:textId="77777777" w:rsidR="002C07D8" w:rsidRDefault="002C07D8" w:rsidP="002B7F14">
      <w:pPr>
        <w:pStyle w:val="NormalWeb"/>
        <w:shd w:val="clear" w:color="auto" w:fill="FFFFFF"/>
        <w:spacing w:before="0" w:beforeAutospacing="0" w:after="300" w:afterAutospacing="0"/>
        <w:jc w:val="both"/>
        <w:rPr>
          <w:rFonts w:ascii="Helvetica" w:hAnsi="Helvetica" w:cs="Helvetica"/>
          <w:color w:val="333333"/>
          <w:sz w:val="20"/>
          <w:szCs w:val="20"/>
        </w:rPr>
      </w:pPr>
      <w:r>
        <w:rPr>
          <w:rFonts w:ascii="Helvetica" w:hAnsi="Helvetica" w:cs="Helvetica"/>
          <w:b/>
          <w:bCs/>
          <w:color w:val="333333"/>
          <w:sz w:val="20"/>
          <w:szCs w:val="20"/>
        </w:rPr>
        <w:t>Use agarose resin for protein purification</w:t>
      </w:r>
      <w:r>
        <w:rPr>
          <w:rFonts w:ascii="Helvetica" w:hAnsi="Helvetica" w:cs="Helvetica"/>
          <w:color w:val="333333"/>
          <w:sz w:val="20"/>
          <w:szCs w:val="20"/>
        </w:rPr>
        <w:t> </w:t>
      </w:r>
      <w:r w:rsidRPr="002B7F14">
        <w:rPr>
          <w:rFonts w:asciiTheme="majorBidi" w:eastAsiaTheme="minorHAnsi" w:hAnsiTheme="majorBidi" w:cstheme="majorBidi"/>
          <w:color w:val="333333"/>
          <w:spacing w:val="8"/>
        </w:rPr>
        <w:t xml:space="preserve">(i.e., when the sample size is &gt; 2 mL). Agarose is most appropriate for column affinity chromatography or individual, large-scale spin cup IP reactions when </w:t>
      </w:r>
      <w:proofErr w:type="gramStart"/>
      <w:r w:rsidRPr="002B7F14">
        <w:rPr>
          <w:rFonts w:asciiTheme="majorBidi" w:eastAsiaTheme="minorHAnsi" w:hAnsiTheme="majorBidi" w:cstheme="majorBidi"/>
          <w:color w:val="333333"/>
          <w:spacing w:val="8"/>
        </w:rPr>
        <w:t>sufficient</w:t>
      </w:r>
      <w:proofErr w:type="gramEnd"/>
      <w:r w:rsidRPr="002B7F14">
        <w:rPr>
          <w:rFonts w:asciiTheme="majorBidi" w:eastAsiaTheme="minorHAnsi" w:hAnsiTheme="majorBidi" w:cstheme="majorBidi"/>
          <w:color w:val="333333"/>
          <w:spacing w:val="8"/>
        </w:rPr>
        <w:t xml:space="preserve"> antibody is plentiful at a low cost and where the goal is to purify a sufficient amount of target protein for multiple downstream assays.</w:t>
      </w:r>
      <w:r>
        <w:rPr>
          <w:rFonts w:ascii="Helvetica" w:hAnsi="Helvetica" w:cs="Helvetica"/>
          <w:color w:val="333333"/>
          <w:sz w:val="20"/>
          <w:szCs w:val="20"/>
        </w:rPr>
        <w:t> </w:t>
      </w:r>
    </w:p>
    <w:p w14:paraId="1568C2A6" w14:textId="77777777" w:rsidR="002C07D8" w:rsidRDefault="002C07D8" w:rsidP="002C07D8">
      <w:pPr>
        <w:pStyle w:val="Heading2"/>
        <w:shd w:val="clear" w:color="auto" w:fill="FFFFFF"/>
        <w:spacing w:before="75" w:beforeAutospacing="0" w:after="165" w:afterAutospacing="0" w:line="347" w:lineRule="atLeast"/>
        <w:rPr>
          <w:rFonts w:ascii="Helvetica" w:hAnsi="Helvetica" w:cs="Helvetica"/>
          <w:b w:val="0"/>
          <w:bCs w:val="0"/>
          <w:color w:val="333333"/>
          <w:spacing w:val="8"/>
          <w:sz w:val="33"/>
          <w:szCs w:val="33"/>
        </w:rPr>
      </w:pPr>
      <w:r>
        <w:rPr>
          <w:rFonts w:ascii="Helvetica" w:hAnsi="Helvetica" w:cs="Helvetica"/>
          <w:b w:val="0"/>
          <w:bCs w:val="0"/>
          <w:color w:val="333333"/>
          <w:spacing w:val="8"/>
          <w:sz w:val="33"/>
          <w:szCs w:val="33"/>
        </w:rPr>
        <w:t>Types of immunoprecipitation</w:t>
      </w:r>
    </w:p>
    <w:p w14:paraId="6F000C48" w14:textId="77777777" w:rsidR="002C07D8" w:rsidRPr="002B7F14" w:rsidRDefault="002C07D8" w:rsidP="002B7F14">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2B7F14">
        <w:rPr>
          <w:rFonts w:asciiTheme="majorBidi" w:eastAsiaTheme="minorHAnsi" w:hAnsiTheme="majorBidi" w:cstheme="majorBidi"/>
          <w:color w:val="333333"/>
          <w:spacing w:val="8"/>
        </w:rPr>
        <w:t>In its simplest form, IP is used to isolate a single protein (the target antigen of the antibody) to investigate its identity, structure, expression, activation or modification state. Variations of IP are also used to study the interactions of the primary antigen protein with other proteins or nucleic acids. In these methods, the goal is to study the interactors or associated cellular components that are bound to the primary antigen.</w:t>
      </w:r>
    </w:p>
    <w:p w14:paraId="6FE405E9" w14:textId="77777777" w:rsidR="002C07D8" w:rsidRPr="002B7F14" w:rsidRDefault="002C07D8" w:rsidP="002B7F14">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2B7F14">
        <w:rPr>
          <w:rFonts w:asciiTheme="majorBidi" w:eastAsiaTheme="minorHAnsi" w:hAnsiTheme="majorBidi" w:cstheme="majorBidi"/>
          <w:color w:val="333333"/>
          <w:spacing w:val="8"/>
        </w:rPr>
        <w:t xml:space="preserve">Co-immunoprecipitation is a popular technique for protein interaction discovery. Co-IP is conducted in essentially the same manner as an IP, except that the target antigen precipitated by the antibody is used to co-precipitate its binding </w:t>
      </w:r>
      <w:r w:rsidRPr="002B7F14">
        <w:rPr>
          <w:rFonts w:asciiTheme="majorBidi" w:eastAsiaTheme="minorHAnsi" w:hAnsiTheme="majorBidi" w:cstheme="majorBidi"/>
          <w:color w:val="333333"/>
          <w:spacing w:val="8"/>
        </w:rPr>
        <w:lastRenderedPageBreak/>
        <w:t>partner(s) or associated protein complex from the lysate. The assumption that is usually made when associated proteins are co-precipitated is that these proteins are related to the function of the target antigen at the cellular level. This is only an assumption, however, that is subject to further verification.</w:t>
      </w:r>
    </w:p>
    <w:p w14:paraId="0673E6EB" w14:textId="77777777" w:rsidR="002C07D8" w:rsidRDefault="002C07D8" w:rsidP="002C07D8">
      <w:pPr>
        <w:pStyle w:val="Heading3"/>
        <w:shd w:val="clear" w:color="auto" w:fill="FFFFFF"/>
        <w:spacing w:before="165" w:beforeAutospacing="0" w:after="165" w:afterAutospacing="0" w:line="287" w:lineRule="atLeast"/>
        <w:rPr>
          <w:rFonts w:ascii="Helvetica" w:hAnsi="Helvetica" w:cs="Helvetica"/>
          <w:color w:val="333333"/>
          <w:spacing w:val="8"/>
          <w:sz w:val="24"/>
          <w:szCs w:val="24"/>
        </w:rPr>
      </w:pPr>
      <w:r>
        <w:rPr>
          <w:rFonts w:ascii="Helvetica" w:hAnsi="Helvetica" w:cs="Helvetica"/>
          <w:color w:val="333333"/>
          <w:spacing w:val="8"/>
          <w:sz w:val="24"/>
          <w:szCs w:val="24"/>
        </w:rPr>
        <w:t>Chromatin immunoprecipitation (</w:t>
      </w:r>
      <w:proofErr w:type="spellStart"/>
      <w:r>
        <w:rPr>
          <w:rFonts w:ascii="Helvetica" w:hAnsi="Helvetica" w:cs="Helvetica"/>
          <w:color w:val="333333"/>
          <w:spacing w:val="8"/>
          <w:sz w:val="24"/>
          <w:szCs w:val="24"/>
        </w:rPr>
        <w:t>ChIP</w:t>
      </w:r>
      <w:proofErr w:type="spellEnd"/>
      <w:r>
        <w:rPr>
          <w:rFonts w:ascii="Helvetica" w:hAnsi="Helvetica" w:cs="Helvetica"/>
          <w:color w:val="333333"/>
          <w:spacing w:val="8"/>
          <w:sz w:val="24"/>
          <w:szCs w:val="24"/>
        </w:rPr>
        <w:t>) and RNA immunoprecipitation (RIP)</w:t>
      </w:r>
    </w:p>
    <w:p w14:paraId="276E697D" w14:textId="77777777" w:rsidR="002C07D8" w:rsidRPr="002B7F14" w:rsidRDefault="002C07D8" w:rsidP="002B7F14">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2B7F14">
        <w:rPr>
          <w:rFonts w:asciiTheme="majorBidi" w:eastAsiaTheme="minorHAnsi" w:hAnsiTheme="majorBidi" w:cstheme="majorBidi"/>
          <w:color w:val="333333"/>
          <w:spacing w:val="8"/>
        </w:rPr>
        <w:t>Chromatin immunoprecipitation (</w:t>
      </w:r>
      <w:proofErr w:type="spellStart"/>
      <w:r w:rsidRPr="002B7F14">
        <w:rPr>
          <w:rFonts w:asciiTheme="majorBidi" w:eastAsiaTheme="minorHAnsi" w:hAnsiTheme="majorBidi" w:cstheme="majorBidi"/>
          <w:color w:val="333333"/>
          <w:spacing w:val="8"/>
        </w:rPr>
        <w:t>ChIP</w:t>
      </w:r>
      <w:proofErr w:type="spellEnd"/>
      <w:r w:rsidRPr="002B7F14">
        <w:rPr>
          <w:rFonts w:asciiTheme="majorBidi" w:eastAsiaTheme="minorHAnsi" w:hAnsiTheme="majorBidi" w:cstheme="majorBidi"/>
          <w:color w:val="333333"/>
          <w:spacing w:val="8"/>
        </w:rPr>
        <w:t>) assays are performed to identify regions of the genome with which DNA-binding proteins, such as transcription factors and histones, associate. In </w:t>
      </w:r>
      <w:proofErr w:type="spellStart"/>
      <w:r w:rsidRPr="002B7F14">
        <w:rPr>
          <w:rFonts w:asciiTheme="majorBidi" w:eastAsiaTheme="minorHAnsi" w:hAnsiTheme="majorBidi" w:cstheme="majorBidi"/>
          <w:color w:val="333333"/>
          <w:spacing w:val="8"/>
        </w:rPr>
        <w:t>ChIP</w:t>
      </w:r>
      <w:proofErr w:type="spellEnd"/>
      <w:r w:rsidRPr="002B7F14">
        <w:rPr>
          <w:rFonts w:asciiTheme="majorBidi" w:eastAsiaTheme="minorHAnsi" w:hAnsiTheme="majorBidi" w:cstheme="majorBidi"/>
          <w:color w:val="333333"/>
          <w:spacing w:val="8"/>
        </w:rPr>
        <w:t xml:space="preserve"> assays, proteins bound to DNA are temporarily crosslinked and the DNA is sheared prior to cell lysis. The target proteins are immunoprecipitated along with the crosslinked nucleotide sequences, and DNA is then removed and identified by PCR, sequenced, applied to microarrays or analyzed in some other way. RNA immunoprecipitation (RIP) is </w:t>
      </w:r>
      <w:proofErr w:type="gramStart"/>
      <w:r w:rsidRPr="002B7F14">
        <w:rPr>
          <w:rFonts w:asciiTheme="majorBidi" w:eastAsiaTheme="minorHAnsi" w:hAnsiTheme="majorBidi" w:cstheme="majorBidi"/>
          <w:color w:val="333333"/>
          <w:spacing w:val="8"/>
        </w:rPr>
        <w:t>similar to</w:t>
      </w:r>
      <w:proofErr w:type="gramEnd"/>
      <w:r w:rsidRPr="002B7F14">
        <w:rPr>
          <w:rFonts w:asciiTheme="majorBidi" w:eastAsiaTheme="minorHAnsi" w:hAnsiTheme="majorBidi" w:cstheme="majorBidi"/>
          <w:color w:val="333333"/>
          <w:spacing w:val="8"/>
        </w:rPr>
        <w:t> </w:t>
      </w:r>
      <w:proofErr w:type="spellStart"/>
      <w:r w:rsidRPr="002B7F14">
        <w:rPr>
          <w:rFonts w:asciiTheme="majorBidi" w:eastAsiaTheme="minorHAnsi" w:hAnsiTheme="majorBidi" w:cstheme="majorBidi"/>
          <w:color w:val="333333"/>
          <w:spacing w:val="8"/>
        </w:rPr>
        <w:t>ChIP</w:t>
      </w:r>
      <w:proofErr w:type="spellEnd"/>
      <w:r w:rsidRPr="002B7F14">
        <w:rPr>
          <w:rFonts w:asciiTheme="majorBidi" w:eastAsiaTheme="minorHAnsi" w:hAnsiTheme="majorBidi" w:cstheme="majorBidi"/>
          <w:color w:val="333333"/>
          <w:spacing w:val="8"/>
        </w:rPr>
        <w:t>, except that RNA-binding proteins are immunoprecipitated instead of DNA-binding proteins. Immunoprecipitated RNAs can then be identified by RT-PCR and cDNA sequencing.</w:t>
      </w:r>
    </w:p>
    <w:p w14:paraId="734DD8AA" w14:textId="77777777" w:rsidR="002C07D8" w:rsidRDefault="002C07D8" w:rsidP="00486144">
      <w:pPr>
        <w:pStyle w:val="Heading3"/>
        <w:shd w:val="clear" w:color="auto" w:fill="FFFFFF" w:themeFill="background1"/>
        <w:spacing w:before="75" w:beforeAutospacing="0" w:after="165" w:afterAutospacing="0" w:line="287" w:lineRule="atLeast"/>
        <w:rPr>
          <w:rFonts w:ascii="Helvetica" w:hAnsi="Helvetica" w:cs="Helvetica"/>
          <w:color w:val="333333"/>
          <w:spacing w:val="8"/>
          <w:sz w:val="24"/>
          <w:szCs w:val="24"/>
        </w:rPr>
      </w:pPr>
      <w:r>
        <w:rPr>
          <w:rFonts w:ascii="Helvetica" w:hAnsi="Helvetica" w:cs="Helvetica"/>
          <w:color w:val="333333"/>
          <w:spacing w:val="8"/>
          <w:sz w:val="24"/>
          <w:szCs w:val="24"/>
        </w:rPr>
        <w:t>A step-by-step guide to successful chromatin immunoprecipitation (</w:t>
      </w:r>
      <w:proofErr w:type="spellStart"/>
      <w:r>
        <w:rPr>
          <w:rFonts w:ascii="Helvetica" w:hAnsi="Helvetica" w:cs="Helvetica"/>
          <w:color w:val="333333"/>
          <w:spacing w:val="8"/>
          <w:sz w:val="24"/>
          <w:szCs w:val="24"/>
        </w:rPr>
        <w:t>ChIP</w:t>
      </w:r>
      <w:proofErr w:type="spellEnd"/>
      <w:r>
        <w:rPr>
          <w:rFonts w:ascii="Helvetica" w:hAnsi="Helvetica" w:cs="Helvetica"/>
          <w:color w:val="333333"/>
          <w:spacing w:val="8"/>
          <w:sz w:val="24"/>
          <w:szCs w:val="24"/>
        </w:rPr>
        <w:t>) assays</w:t>
      </w:r>
    </w:p>
    <w:p w14:paraId="0C7DE646" w14:textId="77777777" w:rsidR="002C07D8" w:rsidRPr="002B7F14" w:rsidRDefault="002C07D8" w:rsidP="002B7F14">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2B7F14">
        <w:rPr>
          <w:rFonts w:asciiTheme="majorBidi" w:eastAsiaTheme="minorHAnsi" w:hAnsiTheme="majorBidi" w:cstheme="majorBidi"/>
          <w:color w:val="333333"/>
          <w:spacing w:val="8"/>
        </w:rPr>
        <w:t>This updated overview of the </w:t>
      </w:r>
      <w:proofErr w:type="spellStart"/>
      <w:r w:rsidRPr="002B7F14">
        <w:rPr>
          <w:rFonts w:asciiTheme="majorBidi" w:eastAsiaTheme="minorHAnsi" w:hAnsiTheme="majorBidi" w:cstheme="majorBidi"/>
          <w:color w:val="333333"/>
          <w:spacing w:val="8"/>
        </w:rPr>
        <w:t>ChIP</w:t>
      </w:r>
      <w:proofErr w:type="spellEnd"/>
      <w:r w:rsidRPr="002B7F14">
        <w:rPr>
          <w:rFonts w:asciiTheme="majorBidi" w:eastAsiaTheme="minorHAnsi" w:hAnsiTheme="majorBidi" w:cstheme="majorBidi"/>
          <w:color w:val="333333"/>
          <w:spacing w:val="8"/>
        </w:rPr>
        <w:t> procedure includes additional detail about primary antibody selection (i.e., </w:t>
      </w:r>
      <w:proofErr w:type="spellStart"/>
      <w:r w:rsidRPr="002B7F14">
        <w:rPr>
          <w:rFonts w:asciiTheme="majorBidi" w:eastAsiaTheme="minorHAnsi" w:hAnsiTheme="majorBidi" w:cstheme="majorBidi"/>
          <w:color w:val="333333"/>
          <w:spacing w:val="8"/>
        </w:rPr>
        <w:t>ChIP</w:t>
      </w:r>
      <w:proofErr w:type="spellEnd"/>
      <w:r w:rsidRPr="002B7F14">
        <w:rPr>
          <w:rFonts w:asciiTheme="majorBidi" w:eastAsiaTheme="minorHAnsi" w:hAnsiTheme="majorBidi" w:cstheme="majorBidi"/>
          <w:color w:val="333333"/>
          <w:spacing w:val="8"/>
        </w:rPr>
        <w:t xml:space="preserve">-validated antibodies). The application note also describes and provides examples of </w:t>
      </w:r>
      <w:proofErr w:type="spellStart"/>
      <w:r w:rsidRPr="002B7F14">
        <w:rPr>
          <w:rFonts w:asciiTheme="majorBidi" w:eastAsiaTheme="minorHAnsi" w:hAnsiTheme="majorBidi" w:cstheme="majorBidi"/>
          <w:color w:val="333333"/>
          <w:spacing w:val="8"/>
        </w:rPr>
        <w:t>ChIP</w:t>
      </w:r>
      <w:proofErr w:type="spellEnd"/>
      <w:r w:rsidRPr="002B7F14">
        <w:rPr>
          <w:rFonts w:asciiTheme="majorBidi" w:eastAsiaTheme="minorHAnsi" w:hAnsiTheme="majorBidi" w:cstheme="majorBidi"/>
          <w:color w:val="333333"/>
          <w:spacing w:val="8"/>
        </w:rPr>
        <w:t xml:space="preserve"> as a technique for studying epigenetics, as it allows researchers to capture a snapshot of specific protein-DNA.</w:t>
      </w:r>
    </w:p>
    <w:p w14:paraId="54F7D04A" w14:textId="77777777" w:rsidR="002C07D8" w:rsidRPr="002B7F14" w:rsidRDefault="00FB33FF" w:rsidP="002B7F14">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hyperlink r:id="rId34" w:history="1">
        <w:r w:rsidR="002C07D8" w:rsidRPr="002B7F14">
          <w:rPr>
            <w:rFonts w:asciiTheme="majorBidi" w:eastAsiaTheme="minorHAnsi" w:hAnsiTheme="majorBidi" w:cstheme="majorBidi"/>
            <w:color w:val="333333"/>
            <w:spacing w:val="8"/>
          </w:rPr>
          <w:t>Download</w:t>
        </w:r>
      </w:hyperlink>
      <w:r w:rsidR="002C07D8" w:rsidRPr="002B7F14">
        <w:rPr>
          <w:rFonts w:asciiTheme="majorBidi" w:eastAsiaTheme="minorHAnsi" w:hAnsiTheme="majorBidi" w:cstheme="majorBidi"/>
          <w:color w:val="333333"/>
          <w:spacing w:val="8"/>
        </w:rPr>
        <w:t> A step-by-step guide to successful chromatin immunoprecipitation (</w:t>
      </w:r>
      <w:proofErr w:type="spellStart"/>
      <w:r w:rsidR="002C07D8" w:rsidRPr="002B7F14">
        <w:rPr>
          <w:rFonts w:asciiTheme="majorBidi" w:eastAsiaTheme="minorHAnsi" w:hAnsiTheme="majorBidi" w:cstheme="majorBidi"/>
          <w:color w:val="333333"/>
          <w:spacing w:val="8"/>
        </w:rPr>
        <w:t>ChIP</w:t>
      </w:r>
      <w:proofErr w:type="spellEnd"/>
      <w:r w:rsidR="002C07D8" w:rsidRPr="002B7F14">
        <w:rPr>
          <w:rFonts w:asciiTheme="majorBidi" w:eastAsiaTheme="minorHAnsi" w:hAnsiTheme="majorBidi" w:cstheme="majorBidi"/>
          <w:color w:val="333333"/>
          <w:spacing w:val="8"/>
        </w:rPr>
        <w:t>) assays guide for an updated overview of this entire epigenetics technique from selection of </w:t>
      </w:r>
      <w:proofErr w:type="spellStart"/>
      <w:r w:rsidR="002C07D8" w:rsidRPr="002B7F14">
        <w:rPr>
          <w:rFonts w:asciiTheme="majorBidi" w:eastAsiaTheme="minorHAnsi" w:hAnsiTheme="majorBidi" w:cstheme="majorBidi"/>
          <w:color w:val="333333"/>
          <w:spacing w:val="8"/>
        </w:rPr>
        <w:t>ChIP</w:t>
      </w:r>
      <w:proofErr w:type="spellEnd"/>
      <w:r w:rsidR="002C07D8" w:rsidRPr="002B7F14">
        <w:rPr>
          <w:rFonts w:asciiTheme="majorBidi" w:eastAsiaTheme="minorHAnsi" w:hAnsiTheme="majorBidi" w:cstheme="majorBidi"/>
          <w:color w:val="333333"/>
          <w:spacing w:val="8"/>
        </w:rPr>
        <w:t>-validated antibodies through cell lysis, optimization of chromatin digestion, bead choice, qPCR and more!</w:t>
      </w:r>
    </w:p>
    <w:p w14:paraId="18BF7992" w14:textId="77777777" w:rsidR="002C07D8" w:rsidRDefault="002C07D8" w:rsidP="002C07D8">
      <w:pPr>
        <w:pStyle w:val="Heading3"/>
        <w:shd w:val="clear" w:color="auto" w:fill="FFFFFF"/>
        <w:spacing w:before="165" w:beforeAutospacing="0" w:after="165" w:afterAutospacing="0" w:line="287" w:lineRule="atLeast"/>
        <w:rPr>
          <w:rFonts w:ascii="Helvetica" w:hAnsi="Helvetica" w:cs="Helvetica"/>
          <w:color w:val="333333"/>
          <w:spacing w:val="8"/>
          <w:sz w:val="24"/>
          <w:szCs w:val="24"/>
        </w:rPr>
      </w:pPr>
      <w:r>
        <w:rPr>
          <w:rFonts w:ascii="Helvetica" w:hAnsi="Helvetica" w:cs="Helvetica"/>
          <w:color w:val="333333"/>
          <w:spacing w:val="8"/>
          <w:sz w:val="24"/>
          <w:szCs w:val="24"/>
        </w:rPr>
        <w:t>Tagged-protein IP or tag-based pull-down</w:t>
      </w:r>
    </w:p>
    <w:p w14:paraId="04A7943C" w14:textId="77777777" w:rsidR="002C07D8" w:rsidRPr="002B7F14" w:rsidRDefault="002C07D8" w:rsidP="002B7F14">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2B7F14">
        <w:rPr>
          <w:rFonts w:asciiTheme="majorBidi" w:eastAsiaTheme="minorHAnsi" w:hAnsiTheme="majorBidi" w:cstheme="majorBidi"/>
          <w:color w:val="333333"/>
          <w:spacing w:val="8"/>
        </w:rPr>
        <w:t>A key limitation of the previously-described IP approaches is their dependence upon the availability of antibodies that specifically recognize the target protein with little or no cross-reactivity with other cellular targets. Due to this limitation, many proteins are unable to be immunoprecipitated because of the lack of an available antibody.</w:t>
      </w:r>
    </w:p>
    <w:p w14:paraId="2BEE6C22" w14:textId="77777777" w:rsidR="002C07D8" w:rsidRPr="002B7F14" w:rsidRDefault="002C07D8" w:rsidP="002B7F14">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2B7F14">
        <w:rPr>
          <w:rFonts w:asciiTheme="majorBidi" w:eastAsiaTheme="minorHAnsi" w:hAnsiTheme="majorBidi" w:cstheme="majorBidi"/>
          <w:color w:val="333333"/>
          <w:spacing w:val="8"/>
        </w:rPr>
        <w:t>To circumvent this problem, proteins can be tagged with an epitope to which a high-affinity antibody is available and ectopically expressed in the cell of interest. Today, this approach is commonplace for all types of immunoprecipitations in molecular biology research. These tags can be either short peptide sequences or fluorescent proteins, including:</w:t>
      </w:r>
    </w:p>
    <w:p w14:paraId="74B71FE0" w14:textId="77777777" w:rsidR="002C07D8" w:rsidRPr="00977C89" w:rsidRDefault="002C07D8" w:rsidP="002C07D8">
      <w:pPr>
        <w:numPr>
          <w:ilvl w:val="0"/>
          <w:numId w:val="14"/>
        </w:numPr>
        <w:shd w:val="clear" w:color="auto" w:fill="FFFFFF"/>
        <w:bidi w:val="0"/>
        <w:spacing w:before="100" w:beforeAutospacing="1" w:after="100" w:afterAutospacing="1" w:line="330" w:lineRule="atLeast"/>
        <w:ind w:left="375"/>
        <w:rPr>
          <w:rFonts w:ascii="Helvetica" w:hAnsi="Helvetica" w:cs="Helvetica"/>
          <w:b/>
          <w:bCs/>
          <w:color w:val="333333"/>
          <w:sz w:val="20"/>
          <w:szCs w:val="20"/>
        </w:rPr>
      </w:pPr>
      <w:r w:rsidRPr="00977C89">
        <w:rPr>
          <w:rFonts w:ascii="Helvetica" w:hAnsi="Helvetica" w:cs="Helvetica"/>
          <w:b/>
          <w:bCs/>
          <w:color w:val="333333"/>
          <w:sz w:val="20"/>
          <w:szCs w:val="20"/>
        </w:rPr>
        <w:t>FLAG; peptide sequence DYKDDDDK</w:t>
      </w:r>
    </w:p>
    <w:p w14:paraId="304ED82D" w14:textId="77777777" w:rsidR="002C07D8" w:rsidRPr="00977C89" w:rsidRDefault="002C07D8" w:rsidP="002C07D8">
      <w:pPr>
        <w:numPr>
          <w:ilvl w:val="0"/>
          <w:numId w:val="14"/>
        </w:numPr>
        <w:shd w:val="clear" w:color="auto" w:fill="FFFFFF"/>
        <w:bidi w:val="0"/>
        <w:spacing w:before="100" w:beforeAutospacing="1" w:after="100" w:afterAutospacing="1" w:line="330" w:lineRule="atLeast"/>
        <w:ind w:left="375"/>
        <w:rPr>
          <w:rFonts w:ascii="Helvetica" w:hAnsi="Helvetica" w:cs="Helvetica"/>
          <w:b/>
          <w:bCs/>
          <w:color w:val="333333"/>
          <w:sz w:val="20"/>
          <w:szCs w:val="20"/>
        </w:rPr>
      </w:pPr>
      <w:r w:rsidRPr="00977C89">
        <w:rPr>
          <w:rFonts w:ascii="Helvetica" w:hAnsi="Helvetica" w:cs="Helvetica"/>
          <w:b/>
          <w:bCs/>
          <w:color w:val="333333"/>
          <w:sz w:val="20"/>
          <w:szCs w:val="20"/>
        </w:rPr>
        <w:t>c-</w:t>
      </w:r>
      <w:proofErr w:type="spellStart"/>
      <w:r w:rsidRPr="00977C89">
        <w:rPr>
          <w:rFonts w:ascii="Helvetica" w:hAnsi="Helvetica" w:cs="Helvetica"/>
          <w:b/>
          <w:bCs/>
          <w:color w:val="333333"/>
          <w:sz w:val="20"/>
          <w:szCs w:val="20"/>
        </w:rPr>
        <w:t>Myc</w:t>
      </w:r>
      <w:proofErr w:type="spellEnd"/>
      <w:r w:rsidRPr="00977C89">
        <w:rPr>
          <w:rFonts w:ascii="Helvetica" w:hAnsi="Helvetica" w:cs="Helvetica"/>
          <w:b/>
          <w:bCs/>
          <w:color w:val="333333"/>
          <w:sz w:val="20"/>
          <w:szCs w:val="20"/>
        </w:rPr>
        <w:t>; peptide sequence EQKLISEEDL </w:t>
      </w:r>
    </w:p>
    <w:p w14:paraId="5BC7FD4E" w14:textId="77777777" w:rsidR="002C07D8" w:rsidRPr="00977C89" w:rsidRDefault="002C07D8" w:rsidP="002C07D8">
      <w:pPr>
        <w:numPr>
          <w:ilvl w:val="0"/>
          <w:numId w:val="14"/>
        </w:numPr>
        <w:shd w:val="clear" w:color="auto" w:fill="FFFFFF"/>
        <w:bidi w:val="0"/>
        <w:spacing w:before="100" w:beforeAutospacing="1" w:after="100" w:afterAutospacing="1" w:line="330" w:lineRule="atLeast"/>
        <w:ind w:left="375"/>
        <w:rPr>
          <w:rFonts w:ascii="Helvetica" w:hAnsi="Helvetica" w:cs="Helvetica"/>
          <w:b/>
          <w:bCs/>
          <w:color w:val="333333"/>
          <w:sz w:val="20"/>
          <w:szCs w:val="20"/>
        </w:rPr>
      </w:pPr>
      <w:r w:rsidRPr="00977C89">
        <w:rPr>
          <w:rFonts w:ascii="Helvetica" w:hAnsi="Helvetica" w:cs="Helvetica"/>
          <w:b/>
          <w:bCs/>
          <w:color w:val="333333"/>
          <w:sz w:val="20"/>
          <w:szCs w:val="20"/>
        </w:rPr>
        <w:t>Hemagglutinin (HA); peptide sequence YPYDVPDYA</w:t>
      </w:r>
    </w:p>
    <w:p w14:paraId="224D73B4" w14:textId="77777777" w:rsidR="002C07D8" w:rsidRPr="00977C89" w:rsidRDefault="002C07D8" w:rsidP="002C07D8">
      <w:pPr>
        <w:numPr>
          <w:ilvl w:val="0"/>
          <w:numId w:val="14"/>
        </w:numPr>
        <w:shd w:val="clear" w:color="auto" w:fill="FFFFFF"/>
        <w:bidi w:val="0"/>
        <w:spacing w:before="100" w:beforeAutospacing="1" w:after="100" w:afterAutospacing="1" w:line="330" w:lineRule="atLeast"/>
        <w:ind w:left="375"/>
        <w:rPr>
          <w:rFonts w:ascii="Helvetica" w:hAnsi="Helvetica" w:cs="Helvetica"/>
          <w:b/>
          <w:bCs/>
          <w:color w:val="333333"/>
          <w:sz w:val="20"/>
          <w:szCs w:val="20"/>
        </w:rPr>
      </w:pPr>
      <w:r w:rsidRPr="00977C89">
        <w:rPr>
          <w:rFonts w:ascii="Helvetica" w:hAnsi="Helvetica" w:cs="Helvetica"/>
          <w:b/>
          <w:bCs/>
          <w:color w:val="333333"/>
          <w:sz w:val="20"/>
          <w:szCs w:val="20"/>
        </w:rPr>
        <w:lastRenderedPageBreak/>
        <w:t>V5; peptide sequence GKPIPNPLLGLDST </w:t>
      </w:r>
    </w:p>
    <w:p w14:paraId="105C761E" w14:textId="77777777" w:rsidR="002C07D8" w:rsidRPr="00977C89" w:rsidRDefault="002C07D8" w:rsidP="002C07D8">
      <w:pPr>
        <w:numPr>
          <w:ilvl w:val="0"/>
          <w:numId w:val="14"/>
        </w:numPr>
        <w:shd w:val="clear" w:color="auto" w:fill="FFFFFF"/>
        <w:bidi w:val="0"/>
        <w:spacing w:before="100" w:beforeAutospacing="1" w:after="100" w:afterAutospacing="1" w:line="330" w:lineRule="atLeast"/>
        <w:ind w:left="375"/>
        <w:rPr>
          <w:rFonts w:ascii="Helvetica" w:hAnsi="Helvetica" w:cs="Helvetica"/>
          <w:b/>
          <w:bCs/>
          <w:color w:val="333333"/>
          <w:sz w:val="20"/>
          <w:szCs w:val="20"/>
        </w:rPr>
      </w:pPr>
      <w:r w:rsidRPr="00977C89">
        <w:rPr>
          <w:rFonts w:ascii="Helvetica" w:hAnsi="Helvetica" w:cs="Helvetica"/>
          <w:b/>
          <w:bCs/>
          <w:color w:val="333333"/>
          <w:sz w:val="20"/>
          <w:szCs w:val="20"/>
        </w:rPr>
        <w:t>Green fluorescent protein (GFP)</w:t>
      </w:r>
    </w:p>
    <w:p w14:paraId="462C1971" w14:textId="77777777" w:rsidR="002C07D8" w:rsidRPr="002B7F14" w:rsidRDefault="002C07D8" w:rsidP="002B7F14">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2B7F14">
        <w:rPr>
          <w:rFonts w:asciiTheme="majorBidi" w:eastAsiaTheme="minorHAnsi" w:hAnsiTheme="majorBidi" w:cstheme="majorBidi"/>
          <w:color w:val="333333"/>
          <w:spacing w:val="8"/>
        </w:rPr>
        <w:t>One downside of using tagged proteins is that the overexpressed tagged protein, not the endogenous protein, is immunoprecipitated, which limits the applicability of any findings using this approach to true biological relevance. Additionally, tagging the protein may interfere with protein function.</w:t>
      </w:r>
    </w:p>
    <w:p w14:paraId="24D8D4E7" w14:textId="77777777" w:rsidR="002C07D8" w:rsidRDefault="002C07D8" w:rsidP="002B7F14">
      <w:pPr>
        <w:pStyle w:val="NormalWeb"/>
        <w:shd w:val="clear" w:color="auto" w:fill="FFFFFF"/>
        <w:spacing w:before="0" w:beforeAutospacing="0" w:after="300" w:afterAutospacing="0"/>
        <w:jc w:val="both"/>
        <w:rPr>
          <w:rFonts w:ascii="Helvetica" w:hAnsi="Helvetica" w:cs="Helvetica"/>
          <w:color w:val="333333"/>
          <w:sz w:val="20"/>
          <w:szCs w:val="20"/>
        </w:rPr>
      </w:pPr>
      <w:r w:rsidRPr="002B7F14">
        <w:rPr>
          <w:rFonts w:asciiTheme="majorBidi" w:eastAsiaTheme="minorHAnsi" w:hAnsiTheme="majorBidi" w:cstheme="majorBidi"/>
          <w:color w:val="333333"/>
          <w:spacing w:val="8"/>
        </w:rPr>
        <w:t>However, growth factors and conditions affecting a specific protein-protein interaction in cultured cells can be measured very precisely using a quantitative immunoprecipitation (</w:t>
      </w:r>
      <w:proofErr w:type="spellStart"/>
      <w:r w:rsidRPr="002B7F14">
        <w:rPr>
          <w:rFonts w:asciiTheme="majorBidi" w:eastAsiaTheme="minorHAnsi" w:hAnsiTheme="majorBidi" w:cstheme="majorBidi"/>
          <w:color w:val="333333"/>
          <w:spacing w:val="8"/>
        </w:rPr>
        <w:t>qIP</w:t>
      </w:r>
      <w:proofErr w:type="spellEnd"/>
      <w:r w:rsidRPr="002B7F14">
        <w:rPr>
          <w:rFonts w:asciiTheme="majorBidi" w:eastAsiaTheme="minorHAnsi" w:hAnsiTheme="majorBidi" w:cstheme="majorBidi"/>
          <w:color w:val="333333"/>
          <w:spacing w:val="8"/>
        </w:rPr>
        <w:t>) method based on co-expression of epitope-tagged and luciferase-tagged proteins</w:t>
      </w:r>
      <w:r>
        <w:rPr>
          <w:rFonts w:ascii="Helvetica" w:hAnsi="Helvetica" w:cs="Helvetica"/>
          <w:color w:val="333333"/>
          <w:sz w:val="20"/>
          <w:szCs w:val="20"/>
        </w:rPr>
        <w:t>.</w:t>
      </w:r>
    </w:p>
    <w:p w14:paraId="507CDA80" w14:textId="77777777" w:rsidR="002C07D8" w:rsidRDefault="002C07D8" w:rsidP="002C07D8">
      <w:pPr>
        <w:pStyle w:val="Heading2"/>
        <w:shd w:val="clear" w:color="auto" w:fill="FFFFFF"/>
        <w:spacing w:before="75" w:beforeAutospacing="0" w:after="165" w:afterAutospacing="0" w:line="347" w:lineRule="atLeast"/>
        <w:rPr>
          <w:rFonts w:ascii="Helvetica" w:hAnsi="Helvetica" w:cs="Helvetica"/>
          <w:b w:val="0"/>
          <w:bCs w:val="0"/>
          <w:color w:val="333333"/>
          <w:spacing w:val="8"/>
          <w:sz w:val="33"/>
          <w:szCs w:val="33"/>
        </w:rPr>
      </w:pPr>
      <w:r>
        <w:rPr>
          <w:rFonts w:ascii="Helvetica" w:hAnsi="Helvetica" w:cs="Helvetica"/>
          <w:b w:val="0"/>
          <w:bCs w:val="0"/>
          <w:color w:val="333333"/>
          <w:spacing w:val="8"/>
          <w:sz w:val="33"/>
          <w:szCs w:val="33"/>
        </w:rPr>
        <w:t>Strategies for antibody immobilization</w:t>
      </w:r>
    </w:p>
    <w:p w14:paraId="60D74354" w14:textId="77777777" w:rsidR="002C07D8" w:rsidRDefault="002C07D8" w:rsidP="002C07D8">
      <w:pPr>
        <w:pStyle w:val="Heading3"/>
        <w:shd w:val="clear" w:color="auto" w:fill="FFFFFF"/>
        <w:spacing w:before="165" w:beforeAutospacing="0" w:after="165" w:afterAutospacing="0" w:line="287" w:lineRule="atLeast"/>
        <w:rPr>
          <w:rFonts w:ascii="Helvetica" w:hAnsi="Helvetica" w:cs="Helvetica"/>
          <w:color w:val="333333"/>
          <w:spacing w:val="8"/>
          <w:sz w:val="24"/>
          <w:szCs w:val="24"/>
        </w:rPr>
      </w:pPr>
      <w:r>
        <w:rPr>
          <w:rFonts w:ascii="Helvetica" w:hAnsi="Helvetica" w:cs="Helvetica"/>
          <w:color w:val="333333"/>
          <w:spacing w:val="8"/>
          <w:sz w:val="24"/>
          <w:szCs w:val="24"/>
        </w:rPr>
        <w:t>Antibody-binding proteins</w:t>
      </w:r>
    </w:p>
    <w:p w14:paraId="3D3EDDC2" w14:textId="77777777" w:rsidR="002C07D8" w:rsidRPr="002B7F14" w:rsidRDefault="002C07D8" w:rsidP="002B7F14">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2B7F14">
        <w:rPr>
          <w:rFonts w:asciiTheme="majorBidi" w:eastAsiaTheme="minorHAnsi" w:hAnsiTheme="majorBidi" w:cstheme="majorBidi"/>
          <w:color w:val="333333"/>
          <w:spacing w:val="8"/>
        </w:rPr>
        <w:t>Protein A, Protein G, Protein A/G and Protein L are immunoglobulin (Ig)-binding proteins that, when attached to beaded support and used as affinity ligands, comprise the most popular antibody-binding platforms for IP applications. As shown in the diagram below, Proteins A and G both show specificity for the heavy chains on the Fc region of antibodies, which effectively orients the immobilized antibodies with antigen-binding sites facing outward; Protein G also shows some affinity for Fab fragments </w:t>
      </w:r>
      <w:hyperlink r:id="rId35" w:anchor="references" w:history="1">
        <w:r w:rsidRPr="002B7F14">
          <w:rPr>
            <w:rFonts w:asciiTheme="majorBidi" w:eastAsiaTheme="minorHAnsi" w:hAnsiTheme="majorBidi" w:cstheme="majorBidi"/>
            <w:color w:val="333333"/>
            <w:spacing w:val="8"/>
          </w:rPr>
          <w:t>(1,3)</w:t>
        </w:r>
      </w:hyperlink>
      <w:r w:rsidRPr="002B7F14">
        <w:rPr>
          <w:rFonts w:asciiTheme="majorBidi" w:eastAsiaTheme="minorHAnsi" w:hAnsiTheme="majorBidi" w:cstheme="majorBidi"/>
          <w:color w:val="333333"/>
          <w:spacing w:val="8"/>
        </w:rPr>
        <w:t>. Protein L binds to light chains, but because of specific binding characteristics, Protein L is only used for limited applications.</w:t>
      </w:r>
    </w:p>
    <w:p w14:paraId="2FCE3910" w14:textId="77777777" w:rsidR="002C07D8" w:rsidRPr="002B7F14" w:rsidRDefault="002C07D8" w:rsidP="002B7F14">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2B7F14">
        <w:rPr>
          <w:rFonts w:asciiTheme="majorBidi" w:eastAsiaTheme="minorHAnsi" w:hAnsiTheme="majorBidi" w:cstheme="majorBidi"/>
          <w:color w:val="333333"/>
          <w:spacing w:val="8"/>
        </w:rPr>
        <w:t xml:space="preserve">Most immunoprecipitations are performed with Protein A, Protein G or Protein A/G, which is an engineered recombinant protein combining four Protein A and two Protein G antibody binding sites. Protein A and G both show high affinity for antibodies of multiple, but not necessarily identical, subclasses and Ig species, while Protein A/G binds </w:t>
      </w:r>
      <w:proofErr w:type="gramStart"/>
      <w:r w:rsidRPr="002B7F14">
        <w:rPr>
          <w:rFonts w:asciiTheme="majorBidi" w:eastAsiaTheme="minorHAnsi" w:hAnsiTheme="majorBidi" w:cstheme="majorBidi"/>
          <w:color w:val="333333"/>
          <w:spacing w:val="8"/>
        </w:rPr>
        <w:t>all of</w:t>
      </w:r>
      <w:proofErr w:type="gramEnd"/>
      <w:r w:rsidRPr="002B7F14">
        <w:rPr>
          <w:rFonts w:asciiTheme="majorBidi" w:eastAsiaTheme="minorHAnsi" w:hAnsiTheme="majorBidi" w:cstheme="majorBidi"/>
          <w:color w:val="333333"/>
          <w:spacing w:val="8"/>
        </w:rPr>
        <w:t xml:space="preserve"> the subtypes to which Protein A and G individually bind.</w:t>
      </w:r>
    </w:p>
    <w:p w14:paraId="156FEFA2" w14:textId="77777777" w:rsidR="002C07D8" w:rsidRPr="002B7F14" w:rsidRDefault="002C07D8" w:rsidP="002B7F14">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2B7F14">
        <w:rPr>
          <w:rFonts w:asciiTheme="majorBidi" w:eastAsiaTheme="minorHAnsi" w:hAnsiTheme="majorBidi" w:cstheme="majorBidi"/>
          <w:color w:val="333333"/>
          <w:spacing w:val="8"/>
        </w:rPr>
        <w:t>Immobilized Protein A, G and A/G (hereafter collectively called "Protein A/G") are effective tools for attaching antibodies to a beaded support for IP applications. Innovations in manufacturing of prepared Protein A/G resins and beads have yielded commercially available supports that have very high binding capacities, enabling excellent immunoprecipitation results to be obtained with very small volumes of beads.</w:t>
      </w:r>
    </w:p>
    <w:p w14:paraId="0248E502" w14:textId="3D1D533C" w:rsidR="002C07D8" w:rsidRDefault="002C07D8" w:rsidP="002C07D8">
      <w:pPr>
        <w:pStyle w:val="NormalWeb"/>
        <w:shd w:val="clear" w:color="auto" w:fill="FFFFFF"/>
        <w:spacing w:before="0" w:beforeAutospacing="0" w:after="300" w:afterAutospacing="0"/>
        <w:rPr>
          <w:rFonts w:ascii="Helvetica" w:hAnsi="Helvetica" w:cs="Helvetica"/>
          <w:color w:val="333333"/>
          <w:sz w:val="20"/>
          <w:szCs w:val="20"/>
        </w:rPr>
      </w:pPr>
      <w:r>
        <w:rPr>
          <w:rFonts w:ascii="Meiryo" w:eastAsia="Meiryo" w:hAnsi="Meiryo" w:cs="Meiryo" w:hint="eastAsia"/>
          <w:noProof/>
          <w:color w:val="000000"/>
          <w:sz w:val="27"/>
          <w:szCs w:val="27"/>
        </w:rPr>
        <w:drawing>
          <wp:inline distT="0" distB="0" distL="0" distR="0" wp14:anchorId="22FE805B" wp14:editId="52F932C3">
            <wp:extent cx="4362450" cy="1285875"/>
            <wp:effectExtent l="0" t="0" r="0" b="9525"/>
            <wp:docPr id="24" name="Picture 24" descr="C:\Users\sata lap\AppData\Local\Microsoft\Windows\Temporary Internet Files\Content.MSO\1D575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ata lap\AppData\Local\Microsoft\Windows\Temporary Internet Files\Content.MSO\1D575B0.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2450" cy="1285875"/>
                    </a:xfrm>
                    <a:prstGeom prst="rect">
                      <a:avLst/>
                    </a:prstGeom>
                    <a:noFill/>
                    <a:ln>
                      <a:noFill/>
                    </a:ln>
                  </pic:spPr>
                </pic:pic>
              </a:graphicData>
            </a:graphic>
          </wp:inline>
        </w:drawing>
      </w:r>
      <w:r>
        <w:rPr>
          <w:rFonts w:ascii="Helvetica" w:hAnsi="Helvetica" w:cs="Helvetica"/>
          <w:b/>
          <w:bCs/>
          <w:color w:val="333333"/>
          <w:sz w:val="17"/>
          <w:szCs w:val="17"/>
        </w:rPr>
        <w:t>Diagram of Protein A/G-mediated antibody immobilization to beaded support</w:t>
      </w:r>
      <w:r>
        <w:rPr>
          <w:rFonts w:ascii="Helvetica" w:hAnsi="Helvetica" w:cs="Helvetica"/>
          <w:color w:val="333333"/>
          <w:sz w:val="17"/>
          <w:szCs w:val="17"/>
        </w:rPr>
        <w:t xml:space="preserve">. Protein A/G (or Protein A or Protein G) </w:t>
      </w:r>
      <w:r>
        <w:rPr>
          <w:rFonts w:ascii="Helvetica" w:hAnsi="Helvetica" w:cs="Helvetica"/>
          <w:color w:val="333333"/>
          <w:sz w:val="17"/>
          <w:szCs w:val="17"/>
        </w:rPr>
        <w:lastRenderedPageBreak/>
        <w:t xml:space="preserve">binds to the Fc region of an IP antibody to immobilize it in the correct orientation to </w:t>
      </w:r>
      <w:proofErr w:type="spellStart"/>
      <w:r>
        <w:rPr>
          <w:rFonts w:ascii="Helvetica" w:hAnsi="Helvetica" w:cs="Helvetica"/>
          <w:color w:val="333333"/>
          <w:sz w:val="17"/>
          <w:szCs w:val="17"/>
        </w:rPr>
        <w:t>immunoprecipitate</w:t>
      </w:r>
      <w:proofErr w:type="spellEnd"/>
      <w:r>
        <w:rPr>
          <w:rFonts w:ascii="Helvetica" w:hAnsi="Helvetica" w:cs="Helvetica"/>
          <w:color w:val="333333"/>
          <w:sz w:val="17"/>
          <w:szCs w:val="17"/>
        </w:rPr>
        <w:t xml:space="preserve"> the target antigen.</w:t>
      </w:r>
    </w:p>
    <w:p w14:paraId="41863852" w14:textId="77777777" w:rsidR="002C07D8" w:rsidRPr="002B7F14" w:rsidRDefault="002C07D8" w:rsidP="002C07D8">
      <w:pPr>
        <w:pStyle w:val="NormalWeb"/>
        <w:shd w:val="clear" w:color="auto" w:fill="FFFFFF"/>
        <w:spacing w:before="0" w:beforeAutospacing="0" w:after="300" w:afterAutospacing="0"/>
        <w:rPr>
          <w:rFonts w:asciiTheme="majorBidi" w:eastAsiaTheme="minorHAnsi" w:hAnsiTheme="majorBidi" w:cstheme="majorBidi"/>
          <w:color w:val="333333"/>
          <w:spacing w:val="8"/>
        </w:rPr>
      </w:pPr>
      <w:r>
        <w:rPr>
          <w:rFonts w:ascii="Helvetica" w:hAnsi="Helvetica" w:cs="Helvetica"/>
          <w:b/>
          <w:bCs/>
          <w:color w:val="333333"/>
          <w:sz w:val="20"/>
          <w:szCs w:val="20"/>
        </w:rPr>
        <w:t>Specificity of antibody-binding proteins.</w:t>
      </w:r>
      <w:r w:rsidRPr="002B7F14">
        <w:rPr>
          <w:rFonts w:asciiTheme="majorBidi" w:eastAsiaTheme="minorHAnsi" w:hAnsiTheme="majorBidi" w:cstheme="majorBidi"/>
          <w:color w:val="333333"/>
          <w:spacing w:val="8"/>
        </w:rPr>
        <w:t> Proteins used to immobilize antibodies to beaded support show specificity to different antibody domains. Protein A and G bind to the heavy chains of the antibody Fc region, while Protein L specifically binds the light chains of the two Fab regions of the F(ab')2antibody fragment.</w:t>
      </w:r>
    </w:p>
    <w:p w14:paraId="552B7D47" w14:textId="77777777" w:rsidR="002C07D8" w:rsidRDefault="002C07D8" w:rsidP="002B7F14">
      <w:pPr>
        <w:pStyle w:val="NormalWeb"/>
        <w:shd w:val="clear" w:color="auto" w:fill="FFFFFF"/>
        <w:spacing w:before="0" w:beforeAutospacing="0" w:after="300" w:afterAutospacing="0"/>
        <w:jc w:val="both"/>
        <w:rPr>
          <w:rFonts w:ascii="Helvetica" w:hAnsi="Helvetica" w:cs="Helvetica"/>
          <w:color w:val="333333"/>
          <w:sz w:val="20"/>
          <w:szCs w:val="20"/>
        </w:rPr>
      </w:pPr>
      <w:r w:rsidRPr="002B7F14">
        <w:rPr>
          <w:rFonts w:asciiTheme="majorBidi" w:eastAsiaTheme="minorHAnsi" w:hAnsiTheme="majorBidi" w:cstheme="majorBidi"/>
          <w:color w:val="333333"/>
          <w:spacing w:val="8"/>
        </w:rPr>
        <w:t>Protein A/G supports are not compatible with certain IP experimental situations, such as when an incompatible antibody species or subclass is used or when immunoprecipitating from serum, which contains nonspecific immunoglobulins that would compete with the IP antibody for binding</w:t>
      </w:r>
      <w:r>
        <w:rPr>
          <w:rFonts w:ascii="Helvetica" w:hAnsi="Helvetica" w:cs="Helvetica"/>
          <w:color w:val="333333"/>
          <w:sz w:val="20"/>
          <w:szCs w:val="20"/>
        </w:rPr>
        <w:t xml:space="preserve"> to the support.</w:t>
      </w:r>
    </w:p>
    <w:p w14:paraId="6A3A3E21" w14:textId="77777777" w:rsidR="002C07D8" w:rsidRDefault="002C07D8" w:rsidP="002C07D8">
      <w:pPr>
        <w:pStyle w:val="Heading3"/>
        <w:shd w:val="clear" w:color="auto" w:fill="FFFFFF"/>
        <w:spacing w:before="165" w:beforeAutospacing="0" w:after="165" w:afterAutospacing="0" w:line="287" w:lineRule="atLeast"/>
        <w:rPr>
          <w:rFonts w:ascii="Helvetica" w:hAnsi="Helvetica" w:cs="Helvetica"/>
          <w:color w:val="333333"/>
          <w:spacing w:val="8"/>
          <w:sz w:val="24"/>
          <w:szCs w:val="24"/>
        </w:rPr>
      </w:pPr>
      <w:r>
        <w:rPr>
          <w:rFonts w:ascii="Helvetica" w:hAnsi="Helvetica" w:cs="Helvetica"/>
          <w:color w:val="333333"/>
          <w:spacing w:val="8"/>
          <w:sz w:val="24"/>
          <w:szCs w:val="24"/>
        </w:rPr>
        <w:t>Streptavidin beads with biotinylated antibodies</w:t>
      </w:r>
    </w:p>
    <w:p w14:paraId="576E5B44" w14:textId="3C321FBB" w:rsidR="002C07D8" w:rsidRPr="002B7F14" w:rsidRDefault="00333B4F" w:rsidP="002B7F14">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Pr>
          <w:rFonts w:asciiTheme="majorBidi" w:eastAsiaTheme="minorHAnsi" w:hAnsiTheme="majorBidi" w:cstheme="majorBidi"/>
          <w:color w:val="333333"/>
          <w:spacing w:val="8"/>
        </w:rPr>
        <w:t>`````</w:t>
      </w:r>
    </w:p>
    <w:p w14:paraId="3FB03365" w14:textId="72B4EC32" w:rsidR="002C07D8" w:rsidRDefault="002C07D8" w:rsidP="002C07D8">
      <w:pPr>
        <w:pStyle w:val="NormalWeb"/>
        <w:shd w:val="clear" w:color="auto" w:fill="FFFFFF"/>
        <w:spacing w:before="0" w:beforeAutospacing="0" w:after="300" w:afterAutospacing="0"/>
        <w:rPr>
          <w:rFonts w:ascii="Helvetica" w:hAnsi="Helvetica" w:cs="Helvetica"/>
          <w:color w:val="333333"/>
          <w:sz w:val="20"/>
          <w:szCs w:val="20"/>
        </w:rPr>
      </w:pPr>
      <w:r>
        <w:rPr>
          <w:rFonts w:ascii="Meiryo" w:eastAsia="Meiryo" w:hAnsi="Meiryo" w:cs="Meiryo" w:hint="eastAsia"/>
          <w:noProof/>
          <w:color w:val="000000"/>
          <w:sz w:val="27"/>
          <w:szCs w:val="27"/>
        </w:rPr>
        <w:drawing>
          <wp:inline distT="0" distB="0" distL="0" distR="0" wp14:anchorId="3BFCA99B" wp14:editId="0C0C3A0A">
            <wp:extent cx="5553075" cy="2219325"/>
            <wp:effectExtent l="0" t="0" r="9525" b="9525"/>
            <wp:docPr id="23" name="Picture 23" descr="C:\Users\sata lap\AppData\Local\Microsoft\Windows\Temporary Internet Files\Content.MSO\7ACF57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ata lap\AppData\Local\Microsoft\Windows\Temporary Internet Files\Content.MSO\7ACF573E.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3075" cy="2219325"/>
                    </a:xfrm>
                    <a:prstGeom prst="rect">
                      <a:avLst/>
                    </a:prstGeom>
                    <a:noFill/>
                    <a:ln>
                      <a:noFill/>
                    </a:ln>
                  </pic:spPr>
                </pic:pic>
              </a:graphicData>
            </a:graphic>
          </wp:inline>
        </w:drawing>
      </w:r>
      <w:r>
        <w:rPr>
          <w:rFonts w:ascii="Helvetica" w:hAnsi="Helvetica" w:cs="Helvetica"/>
          <w:color w:val="333333"/>
          <w:sz w:val="20"/>
          <w:szCs w:val="20"/>
        </w:rPr>
        <w:t> </w:t>
      </w:r>
    </w:p>
    <w:p w14:paraId="65B06E8C" w14:textId="77777777" w:rsidR="002C07D8" w:rsidRDefault="002C07D8" w:rsidP="002C07D8">
      <w:pPr>
        <w:pStyle w:val="NormalWeb"/>
        <w:shd w:val="clear" w:color="auto" w:fill="FFFFFF"/>
        <w:spacing w:before="0" w:beforeAutospacing="0" w:after="300" w:afterAutospacing="0"/>
        <w:rPr>
          <w:rFonts w:ascii="Helvetica" w:hAnsi="Helvetica" w:cs="Helvetica"/>
          <w:color w:val="333333"/>
          <w:sz w:val="20"/>
          <w:szCs w:val="20"/>
        </w:rPr>
      </w:pPr>
      <w:r>
        <w:rPr>
          <w:rFonts w:ascii="Helvetica" w:hAnsi="Helvetica" w:cs="Helvetica"/>
          <w:b/>
          <w:bCs/>
          <w:color w:val="333333"/>
          <w:sz w:val="17"/>
          <w:szCs w:val="17"/>
        </w:rPr>
        <w:t>Diagram for using biotinylated antibodies and streptavidin-coupled beads to perform immunoprecipitation.</w:t>
      </w:r>
      <w:r>
        <w:rPr>
          <w:rFonts w:ascii="Helvetica" w:hAnsi="Helvetica" w:cs="Helvetica"/>
          <w:color w:val="333333"/>
          <w:sz w:val="17"/>
          <w:szCs w:val="17"/>
        </w:rPr>
        <w:t> This strategy can be used for classes of IP antibodies that do not bind well to Protein A or G. The strategy is also effective for pull-down reactions with any sort of biotinylated molecule</w:t>
      </w:r>
    </w:p>
    <w:p w14:paraId="0F79FBE7" w14:textId="77777777" w:rsidR="002C07D8" w:rsidRDefault="002C07D8" w:rsidP="002C07D8">
      <w:pPr>
        <w:pStyle w:val="Heading3"/>
        <w:shd w:val="clear" w:color="auto" w:fill="FFFFFF"/>
        <w:spacing w:before="165" w:beforeAutospacing="0" w:after="165" w:afterAutospacing="0" w:line="287" w:lineRule="atLeast"/>
        <w:rPr>
          <w:rFonts w:ascii="Helvetica" w:hAnsi="Helvetica" w:cs="Helvetica"/>
          <w:color w:val="333333"/>
          <w:spacing w:val="8"/>
          <w:sz w:val="24"/>
          <w:szCs w:val="24"/>
        </w:rPr>
      </w:pPr>
      <w:r>
        <w:rPr>
          <w:rFonts w:ascii="Helvetica" w:hAnsi="Helvetica" w:cs="Helvetica"/>
          <w:color w:val="333333"/>
          <w:spacing w:val="8"/>
          <w:sz w:val="24"/>
          <w:szCs w:val="24"/>
        </w:rPr>
        <w:t>Covalent antibody immobilization</w:t>
      </w:r>
    </w:p>
    <w:p w14:paraId="55C17D3F" w14:textId="77777777" w:rsidR="002C07D8" w:rsidRPr="007D2FB9" w:rsidRDefault="002C07D8" w:rsidP="007D2FB9">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7D2FB9">
        <w:rPr>
          <w:rFonts w:asciiTheme="majorBidi" w:eastAsiaTheme="minorHAnsi" w:hAnsiTheme="majorBidi" w:cstheme="majorBidi"/>
          <w:color w:val="333333"/>
          <w:spacing w:val="8"/>
        </w:rPr>
        <w:t xml:space="preserve">Covalent immobilization strategies chemically bind the antibody to the beaded support and remove the requirement for Protein A/G-dependent antibody immobilization. Commercial products are available that provide beaded supports that react with primary amines (-NH2) on the antibody to permanently bind the antibody to the support. Although this method </w:t>
      </w:r>
      <w:proofErr w:type="gramStart"/>
      <w:r w:rsidRPr="007D2FB9">
        <w:rPr>
          <w:rFonts w:asciiTheme="majorBidi" w:eastAsiaTheme="minorHAnsi" w:hAnsiTheme="majorBidi" w:cstheme="majorBidi"/>
          <w:color w:val="333333"/>
          <w:spacing w:val="8"/>
        </w:rPr>
        <w:t>couples</w:t>
      </w:r>
      <w:proofErr w:type="gramEnd"/>
      <w:r w:rsidRPr="007D2FB9">
        <w:rPr>
          <w:rFonts w:asciiTheme="majorBidi" w:eastAsiaTheme="minorHAnsi" w:hAnsiTheme="majorBidi" w:cstheme="majorBidi"/>
          <w:color w:val="333333"/>
          <w:spacing w:val="8"/>
        </w:rPr>
        <w:t xml:space="preserve"> antibodies in random orientation (based on whichever surface amines contact the reactive groups on the beads), this usually has only slight effects on the antigen-binding function and capacity of the IP antibody. Besides eliminating the dependence on </w:t>
      </w:r>
      <w:proofErr w:type="gramStart"/>
      <w:r w:rsidRPr="007D2FB9">
        <w:rPr>
          <w:rFonts w:asciiTheme="majorBidi" w:eastAsiaTheme="minorHAnsi" w:hAnsiTheme="majorBidi" w:cstheme="majorBidi"/>
          <w:color w:val="333333"/>
          <w:spacing w:val="8"/>
        </w:rPr>
        <w:t>Protein</w:t>
      </w:r>
      <w:proofErr w:type="gramEnd"/>
      <w:r w:rsidRPr="007D2FB9">
        <w:rPr>
          <w:rFonts w:asciiTheme="majorBidi" w:eastAsiaTheme="minorHAnsi" w:hAnsiTheme="majorBidi" w:cstheme="majorBidi"/>
          <w:color w:val="333333"/>
          <w:spacing w:val="8"/>
        </w:rPr>
        <w:t xml:space="preserve"> A/G, the direct immunoprecipitation method prevents the IP antibody from co-eluting with the antigen (when a non-reducing elution buffer is used) and interfering in SDS-PAGE analysis. Additionally, because the antibody theoretically remains intact and permanently bound to the support, it may be possible to reuse the antibody-coated support many times.</w:t>
      </w:r>
    </w:p>
    <w:p w14:paraId="7AEEB9CB" w14:textId="6F4DDC15" w:rsidR="002C07D8" w:rsidRDefault="002C07D8" w:rsidP="002C07D8">
      <w:pPr>
        <w:pStyle w:val="NormalWeb"/>
        <w:shd w:val="clear" w:color="auto" w:fill="FFFFFF"/>
        <w:spacing w:before="0" w:beforeAutospacing="0" w:after="300" w:afterAutospacing="0"/>
        <w:rPr>
          <w:rFonts w:ascii="Helvetica" w:hAnsi="Helvetica" w:cs="Helvetica"/>
          <w:color w:val="333333"/>
          <w:sz w:val="20"/>
          <w:szCs w:val="20"/>
        </w:rPr>
      </w:pPr>
      <w:r>
        <w:rPr>
          <w:rFonts w:ascii="Meiryo" w:eastAsia="Meiryo" w:hAnsi="Meiryo" w:cs="Meiryo" w:hint="eastAsia"/>
          <w:noProof/>
          <w:color w:val="000000"/>
          <w:sz w:val="27"/>
          <w:szCs w:val="27"/>
        </w:rPr>
        <w:lastRenderedPageBreak/>
        <w:drawing>
          <wp:inline distT="0" distB="0" distL="0" distR="0" wp14:anchorId="0862F9FA" wp14:editId="6103F153">
            <wp:extent cx="4095750" cy="1333500"/>
            <wp:effectExtent l="0" t="0" r="0" b="0"/>
            <wp:docPr id="22" name="Picture 22" descr="C:\Users\sata lap\AppData\Local\Microsoft\Windows\Temporary Internet Files\Content.MSO\3DE445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ata lap\AppData\Local\Microsoft\Windows\Temporary Internet Files\Content.MSO\3DE445FC.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5750" cy="1333500"/>
                    </a:xfrm>
                    <a:prstGeom prst="rect">
                      <a:avLst/>
                    </a:prstGeom>
                    <a:noFill/>
                    <a:ln>
                      <a:noFill/>
                    </a:ln>
                  </pic:spPr>
                </pic:pic>
              </a:graphicData>
            </a:graphic>
          </wp:inline>
        </w:drawing>
      </w:r>
      <w:r>
        <w:rPr>
          <w:rFonts w:ascii="Helvetica" w:hAnsi="Helvetica" w:cs="Helvetica"/>
          <w:b/>
          <w:bCs/>
          <w:color w:val="333333"/>
          <w:sz w:val="17"/>
          <w:szCs w:val="17"/>
        </w:rPr>
        <w:t>Schematic representation of a direct method to covalently immobilize antibody to IP support</w:t>
      </w:r>
      <w:r>
        <w:rPr>
          <w:rFonts w:ascii="Helvetica" w:hAnsi="Helvetica" w:cs="Helvetica"/>
          <w:color w:val="333333"/>
          <w:sz w:val="17"/>
          <w:szCs w:val="17"/>
        </w:rPr>
        <w:t>. This diagram features aldehyde-activated agarose beads (</w:t>
      </w:r>
      <w:proofErr w:type="spellStart"/>
      <w:r>
        <w:rPr>
          <w:rFonts w:ascii="Helvetica" w:hAnsi="Helvetica" w:cs="Helvetica"/>
          <w:color w:val="333333"/>
          <w:sz w:val="17"/>
          <w:szCs w:val="17"/>
        </w:rPr>
        <w:t>AminoLink</w:t>
      </w:r>
      <w:proofErr w:type="spellEnd"/>
      <w:r>
        <w:rPr>
          <w:rFonts w:ascii="Helvetica" w:hAnsi="Helvetica" w:cs="Helvetica"/>
          <w:color w:val="333333"/>
          <w:sz w:val="17"/>
          <w:szCs w:val="17"/>
        </w:rPr>
        <w:t> Resin), but a similar immobilization mechanism applies to epoxy-activated </w:t>
      </w:r>
      <w:proofErr w:type="spellStart"/>
      <w:r>
        <w:rPr>
          <w:rFonts w:ascii="Helvetica" w:hAnsi="Helvetica" w:cs="Helvetica"/>
          <w:color w:val="333333"/>
          <w:sz w:val="17"/>
          <w:szCs w:val="17"/>
        </w:rPr>
        <w:t>Dynabeads</w:t>
      </w:r>
      <w:proofErr w:type="spellEnd"/>
      <w:r>
        <w:rPr>
          <w:rFonts w:ascii="Helvetica" w:hAnsi="Helvetica" w:cs="Helvetica"/>
          <w:color w:val="333333"/>
          <w:sz w:val="17"/>
          <w:szCs w:val="17"/>
        </w:rPr>
        <w:t> and other magnetic beads.</w:t>
      </w:r>
    </w:p>
    <w:p w14:paraId="017BE5EE" w14:textId="77777777" w:rsidR="002C07D8" w:rsidRDefault="002C07D8" w:rsidP="002C07D8">
      <w:pPr>
        <w:pStyle w:val="Heading3"/>
        <w:shd w:val="clear" w:color="auto" w:fill="FFFFFF"/>
        <w:spacing w:before="165" w:beforeAutospacing="0" w:after="165" w:afterAutospacing="0" w:line="287" w:lineRule="atLeast"/>
        <w:rPr>
          <w:rFonts w:ascii="Helvetica" w:hAnsi="Helvetica" w:cs="Helvetica"/>
          <w:color w:val="333333"/>
          <w:spacing w:val="8"/>
          <w:sz w:val="24"/>
          <w:szCs w:val="24"/>
        </w:rPr>
      </w:pPr>
      <w:r>
        <w:rPr>
          <w:rFonts w:ascii="Helvetica" w:hAnsi="Helvetica" w:cs="Helvetica"/>
          <w:color w:val="333333"/>
          <w:spacing w:val="8"/>
          <w:sz w:val="24"/>
          <w:szCs w:val="24"/>
        </w:rPr>
        <w:t>Crosslinking antibody immobilization</w:t>
      </w:r>
    </w:p>
    <w:p w14:paraId="09309F6D" w14:textId="77777777" w:rsidR="002C07D8" w:rsidRPr="007D2FB9" w:rsidRDefault="002C07D8" w:rsidP="007D2FB9">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7D2FB9">
        <w:rPr>
          <w:rFonts w:asciiTheme="majorBidi" w:eastAsiaTheme="minorHAnsi" w:hAnsiTheme="majorBidi" w:cstheme="majorBidi"/>
          <w:color w:val="333333"/>
          <w:spacing w:val="8"/>
        </w:rPr>
        <w:t>It is also possible to covalently attach antibodies to Protein A/G-bound supports using a crosslinker. Examples of such crosslinkers include </w:t>
      </w:r>
      <w:hyperlink r:id="rId39" w:history="1">
        <w:r w:rsidRPr="007D2FB9">
          <w:rPr>
            <w:rFonts w:asciiTheme="majorBidi" w:eastAsiaTheme="minorHAnsi" w:hAnsiTheme="majorBidi" w:cstheme="majorBidi"/>
            <w:color w:val="333333"/>
            <w:spacing w:val="8"/>
          </w:rPr>
          <w:t>DSS</w:t>
        </w:r>
      </w:hyperlink>
      <w:r w:rsidRPr="007D2FB9">
        <w:rPr>
          <w:rFonts w:asciiTheme="majorBidi" w:eastAsiaTheme="minorHAnsi" w:hAnsiTheme="majorBidi" w:cstheme="majorBidi"/>
          <w:color w:val="333333"/>
          <w:spacing w:val="8"/>
        </w:rPr>
        <w:t> and </w:t>
      </w:r>
      <w:hyperlink r:id="rId40" w:history="1">
        <w:r w:rsidRPr="007D2FB9">
          <w:rPr>
            <w:rFonts w:asciiTheme="majorBidi" w:eastAsiaTheme="minorHAnsi" w:hAnsiTheme="majorBidi" w:cstheme="majorBidi"/>
            <w:color w:val="333333"/>
            <w:spacing w:val="8"/>
          </w:rPr>
          <w:t>BS3</w:t>
        </w:r>
      </w:hyperlink>
      <w:r w:rsidRPr="007D2FB9">
        <w:rPr>
          <w:rFonts w:asciiTheme="majorBidi" w:eastAsiaTheme="minorHAnsi" w:hAnsiTheme="majorBidi" w:cstheme="majorBidi"/>
          <w:color w:val="333333"/>
          <w:spacing w:val="8"/>
        </w:rPr>
        <w:t>, which are short carbon chains with reactive N-</w:t>
      </w:r>
      <w:proofErr w:type="spellStart"/>
      <w:r w:rsidRPr="007D2FB9">
        <w:rPr>
          <w:rFonts w:asciiTheme="majorBidi" w:eastAsiaTheme="minorHAnsi" w:hAnsiTheme="majorBidi" w:cstheme="majorBidi"/>
          <w:color w:val="333333"/>
          <w:spacing w:val="8"/>
        </w:rPr>
        <w:t>Hydroxysuccinimidyl</w:t>
      </w:r>
      <w:proofErr w:type="spellEnd"/>
      <w:r w:rsidRPr="007D2FB9">
        <w:rPr>
          <w:rFonts w:asciiTheme="majorBidi" w:eastAsiaTheme="minorHAnsi" w:hAnsiTheme="majorBidi" w:cstheme="majorBidi"/>
          <w:color w:val="333333"/>
          <w:spacing w:val="8"/>
        </w:rPr>
        <w:t> (NHS) ester groups at each end. NHS esters react with primary amines (side chain of lysine residues in proteins) to form covalent amide bonds. If an antibody is first bound to a Protein A/G support and then mixed with a crosslinker solution, the crosslinker molecules can react to covalently link adjacent amines of the antibody and Protein A/G.</w:t>
      </w:r>
    </w:p>
    <w:p w14:paraId="2960C269" w14:textId="77777777" w:rsidR="002C07D8" w:rsidRDefault="002C07D8" w:rsidP="002C07D8">
      <w:pPr>
        <w:pStyle w:val="NormalWeb"/>
        <w:shd w:val="clear" w:color="auto" w:fill="FFFFFF"/>
        <w:spacing w:before="0" w:beforeAutospacing="0" w:after="300" w:afterAutospacing="0"/>
        <w:rPr>
          <w:rFonts w:ascii="Helvetica" w:hAnsi="Helvetica" w:cs="Helvetica"/>
          <w:color w:val="333333"/>
          <w:sz w:val="20"/>
          <w:szCs w:val="20"/>
        </w:rPr>
      </w:pPr>
      <w:r>
        <w:rPr>
          <w:rFonts w:ascii="Helvetica" w:hAnsi="Helvetica" w:cs="Helvetica"/>
          <w:color w:val="333333"/>
          <w:sz w:val="20"/>
          <w:szCs w:val="20"/>
        </w:rPr>
        <w:t> </w:t>
      </w:r>
    </w:p>
    <w:p w14:paraId="000F02C3" w14:textId="7B6565D8" w:rsidR="002C07D8" w:rsidRDefault="002C07D8" w:rsidP="002C07D8">
      <w:pPr>
        <w:pStyle w:val="NormalWeb"/>
        <w:shd w:val="clear" w:color="auto" w:fill="FFFFFF"/>
        <w:spacing w:before="0" w:beforeAutospacing="0" w:after="300" w:afterAutospacing="0"/>
        <w:rPr>
          <w:rFonts w:ascii="Helvetica" w:hAnsi="Helvetica" w:cs="Helvetica"/>
          <w:color w:val="333333"/>
          <w:sz w:val="20"/>
          <w:szCs w:val="20"/>
        </w:rPr>
      </w:pPr>
      <w:r>
        <w:rPr>
          <w:rFonts w:ascii="Meiryo" w:eastAsia="Meiryo" w:hAnsi="Meiryo" w:cs="Meiryo" w:hint="eastAsia"/>
          <w:noProof/>
          <w:color w:val="000000"/>
          <w:sz w:val="27"/>
          <w:szCs w:val="27"/>
        </w:rPr>
        <w:drawing>
          <wp:inline distT="0" distB="0" distL="0" distR="0" wp14:anchorId="5C0124D3" wp14:editId="6024B5F5">
            <wp:extent cx="4362450" cy="1285875"/>
            <wp:effectExtent l="0" t="0" r="0" b="9525"/>
            <wp:docPr id="21" name="Picture 21" descr="C:\Users\sata lap\AppData\Local\Microsoft\Windows\Temporary Internet Files\Content.MSO\D81229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ata lap\AppData\Local\Microsoft\Windows\Temporary Internet Files\Content.MSO\D812296A.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2450" cy="1285875"/>
                    </a:xfrm>
                    <a:prstGeom prst="rect">
                      <a:avLst/>
                    </a:prstGeom>
                    <a:noFill/>
                    <a:ln>
                      <a:noFill/>
                    </a:ln>
                  </pic:spPr>
                </pic:pic>
              </a:graphicData>
            </a:graphic>
          </wp:inline>
        </w:drawing>
      </w:r>
      <w:r>
        <w:rPr>
          <w:rFonts w:ascii="Helvetica" w:hAnsi="Helvetica" w:cs="Helvetica"/>
          <w:color w:val="333333"/>
          <w:sz w:val="20"/>
          <w:szCs w:val="20"/>
        </w:rPr>
        <w:t> </w:t>
      </w:r>
    </w:p>
    <w:p w14:paraId="5AE9AF0B" w14:textId="77777777" w:rsidR="002C07D8" w:rsidRDefault="002C07D8" w:rsidP="002C07D8">
      <w:pPr>
        <w:pStyle w:val="NormalWeb"/>
        <w:shd w:val="clear" w:color="auto" w:fill="FFFFFF"/>
        <w:spacing w:before="0" w:beforeAutospacing="0" w:after="300" w:afterAutospacing="0"/>
        <w:rPr>
          <w:rFonts w:ascii="Helvetica" w:hAnsi="Helvetica" w:cs="Helvetica"/>
          <w:color w:val="333333"/>
          <w:sz w:val="20"/>
          <w:szCs w:val="20"/>
        </w:rPr>
      </w:pPr>
      <w:r>
        <w:rPr>
          <w:rFonts w:ascii="Helvetica" w:hAnsi="Helvetica" w:cs="Helvetica"/>
          <w:b/>
          <w:bCs/>
          <w:color w:val="333333"/>
          <w:sz w:val="17"/>
          <w:szCs w:val="17"/>
        </w:rPr>
        <w:t>Schematic representation of covalently crosslinking the antibody to Protein A/G-coated beaded support</w:t>
      </w:r>
      <w:r>
        <w:rPr>
          <w:rFonts w:ascii="Helvetica" w:hAnsi="Helvetica" w:cs="Helvetica"/>
          <w:color w:val="333333"/>
          <w:sz w:val="17"/>
          <w:szCs w:val="17"/>
        </w:rPr>
        <w:t>. This diagram features agarose beads, but the same immobilization mechanism applies to </w:t>
      </w:r>
      <w:proofErr w:type="spellStart"/>
      <w:r>
        <w:rPr>
          <w:rFonts w:ascii="Helvetica" w:hAnsi="Helvetica" w:cs="Helvetica"/>
          <w:color w:val="333333"/>
          <w:sz w:val="17"/>
          <w:szCs w:val="17"/>
        </w:rPr>
        <w:t>Dynabeads</w:t>
      </w:r>
      <w:proofErr w:type="spellEnd"/>
      <w:r>
        <w:rPr>
          <w:rFonts w:ascii="Helvetica" w:hAnsi="Helvetica" w:cs="Helvetica"/>
          <w:color w:val="333333"/>
          <w:sz w:val="17"/>
          <w:szCs w:val="17"/>
        </w:rPr>
        <w:t> and other magnetic beads.</w:t>
      </w:r>
    </w:p>
    <w:p w14:paraId="51ED2408" w14:textId="77777777" w:rsidR="002C07D8" w:rsidRPr="007D2FB9" w:rsidRDefault="002C07D8" w:rsidP="007D2FB9">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Pr>
          <w:rFonts w:ascii="Helvetica" w:hAnsi="Helvetica" w:cs="Helvetica"/>
          <w:color w:val="333333"/>
          <w:sz w:val="20"/>
          <w:szCs w:val="20"/>
        </w:rPr>
        <w:br/>
      </w:r>
      <w:r w:rsidRPr="007D2FB9">
        <w:rPr>
          <w:rFonts w:asciiTheme="majorBidi" w:eastAsiaTheme="minorHAnsi" w:hAnsiTheme="majorBidi" w:cstheme="majorBidi"/>
          <w:color w:val="333333"/>
          <w:spacing w:val="8"/>
        </w:rPr>
        <w:t>As with the direct immobilization method, the crosslink method eliminates co-elution of antibody fragments and potentially enables the antibody support to be reused several times. For obvious reasons, this method can only be used for antibodies that successfully bind to Protein A or G. Because antibodies contain multiple amine groups that are not exclusively limited to the Fc region, it is important to optimize the dosage of crosslinker. If too little or too much crosslinker is used, the antibody may not become successfully linked to the Protein A/G agarose or too many of the amine groups in the antibody binding site may become modified, rendering the antibody unable to bind antigen.</w:t>
      </w:r>
    </w:p>
    <w:p w14:paraId="350B4501" w14:textId="77777777" w:rsidR="002C07D8" w:rsidRDefault="002C07D8" w:rsidP="002C07D8">
      <w:pPr>
        <w:pStyle w:val="Heading2"/>
        <w:shd w:val="clear" w:color="auto" w:fill="FFFFFF"/>
        <w:spacing w:before="75" w:beforeAutospacing="0" w:after="165" w:afterAutospacing="0" w:line="347" w:lineRule="atLeast"/>
        <w:rPr>
          <w:rFonts w:ascii="Helvetica" w:hAnsi="Helvetica" w:cs="Helvetica"/>
          <w:b w:val="0"/>
          <w:bCs w:val="0"/>
          <w:color w:val="333333"/>
          <w:spacing w:val="8"/>
          <w:sz w:val="33"/>
          <w:szCs w:val="33"/>
        </w:rPr>
      </w:pPr>
      <w:r>
        <w:rPr>
          <w:rFonts w:ascii="Helvetica" w:hAnsi="Helvetica" w:cs="Helvetica"/>
          <w:b w:val="0"/>
          <w:bCs w:val="0"/>
          <w:color w:val="333333"/>
          <w:spacing w:val="8"/>
          <w:sz w:val="33"/>
          <w:szCs w:val="33"/>
        </w:rPr>
        <w:t>IP buffers and optimization</w:t>
      </w:r>
    </w:p>
    <w:p w14:paraId="0C62F615" w14:textId="77777777" w:rsidR="002C07D8" w:rsidRDefault="002C07D8" w:rsidP="002C07D8">
      <w:pPr>
        <w:pStyle w:val="Heading3"/>
        <w:shd w:val="clear" w:color="auto" w:fill="FFFFFF"/>
        <w:spacing w:before="165" w:beforeAutospacing="0" w:after="165" w:afterAutospacing="0" w:line="287" w:lineRule="atLeast"/>
        <w:rPr>
          <w:rFonts w:ascii="Helvetica" w:hAnsi="Helvetica" w:cs="Helvetica"/>
          <w:color w:val="333333"/>
          <w:spacing w:val="8"/>
          <w:sz w:val="24"/>
          <w:szCs w:val="24"/>
        </w:rPr>
      </w:pPr>
      <w:r>
        <w:rPr>
          <w:rFonts w:ascii="Helvetica" w:hAnsi="Helvetica" w:cs="Helvetica"/>
          <w:color w:val="333333"/>
          <w:spacing w:val="8"/>
          <w:sz w:val="24"/>
          <w:szCs w:val="24"/>
        </w:rPr>
        <w:t>Lysis Buffers</w:t>
      </w:r>
    </w:p>
    <w:p w14:paraId="4B873861" w14:textId="77777777" w:rsidR="002C07D8" w:rsidRPr="007D2FB9" w:rsidRDefault="002C07D8" w:rsidP="007D2FB9">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7D2FB9">
        <w:rPr>
          <w:rFonts w:asciiTheme="majorBidi" w:eastAsiaTheme="minorHAnsi" w:hAnsiTheme="majorBidi" w:cstheme="majorBidi"/>
          <w:color w:val="333333"/>
          <w:spacing w:val="8"/>
        </w:rPr>
        <w:lastRenderedPageBreak/>
        <w:t xml:space="preserve">Although IP methods are logically and procedurally simple, the variables affecting the success of any specific experiment are as numerous and peculiar as the specific differences between individual proteins and different primary antibodies. Empirical testing is nearly always required to optimize IP conditions to obtain the desired yield and purity of target proteins. Nevertheless, consideration of the main factors involved can help to identify the components that are most likely to affect </w:t>
      </w:r>
      <w:proofErr w:type="gramStart"/>
      <w:r w:rsidRPr="007D2FB9">
        <w:rPr>
          <w:rFonts w:asciiTheme="majorBidi" w:eastAsiaTheme="minorHAnsi" w:hAnsiTheme="majorBidi" w:cstheme="majorBidi"/>
          <w:color w:val="333333"/>
          <w:spacing w:val="8"/>
        </w:rPr>
        <w:t>particular experiments</w:t>
      </w:r>
      <w:proofErr w:type="gramEnd"/>
      <w:r w:rsidRPr="007D2FB9">
        <w:rPr>
          <w:rFonts w:asciiTheme="majorBidi" w:eastAsiaTheme="minorHAnsi" w:hAnsiTheme="majorBidi" w:cstheme="majorBidi"/>
          <w:color w:val="333333"/>
          <w:spacing w:val="8"/>
        </w:rPr>
        <w:t>. e control for an IP or co-IP experiment; any products obtained with these control conditions can be attributed to nonspecific (off-target) interactions. One advantage of the direct immobilization strategy described above is the lack of Protein A/G as a component, which is a potential source of nonspecific binding interactions in the assay system.</w:t>
      </w:r>
    </w:p>
    <w:p w14:paraId="1D8AB649" w14:textId="77777777" w:rsidR="002C07D8" w:rsidRPr="007D2FB9" w:rsidRDefault="002C07D8" w:rsidP="007D2FB9">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7D2FB9">
        <w:rPr>
          <w:rFonts w:asciiTheme="majorBidi" w:eastAsiaTheme="minorHAnsi" w:hAnsiTheme="majorBidi" w:cstheme="majorBidi"/>
          <w:color w:val="333333"/>
          <w:spacing w:val="8"/>
        </w:rPr>
        <w:t xml:space="preserve">The quality of the sample that is used for IP applications critically depends on the right lysis buffer, which stabilizes native protein conformation, inhibits enzymatic activity, minimizes antibody binding site denaturation and maximizes the release of proteins from the cells or tissue. The lysis buffer used for a </w:t>
      </w:r>
      <w:proofErr w:type="gramStart"/>
      <w:r w:rsidRPr="007D2FB9">
        <w:rPr>
          <w:rFonts w:asciiTheme="majorBidi" w:eastAsiaTheme="minorHAnsi" w:hAnsiTheme="majorBidi" w:cstheme="majorBidi"/>
          <w:color w:val="333333"/>
          <w:spacing w:val="8"/>
        </w:rPr>
        <w:t>particular application</w:t>
      </w:r>
      <w:proofErr w:type="gramEnd"/>
      <w:r w:rsidRPr="007D2FB9">
        <w:rPr>
          <w:rFonts w:asciiTheme="majorBidi" w:eastAsiaTheme="minorHAnsi" w:hAnsiTheme="majorBidi" w:cstheme="majorBidi"/>
          <w:color w:val="333333"/>
          <w:spacing w:val="8"/>
        </w:rPr>
        <w:t xml:space="preserve"> depends on the target proteins that will be immunoprecipitated, because the location of the protein in the cell (e.g., membrane, cytosol, nucleus) affects the ease of release during lysis.</w:t>
      </w:r>
    </w:p>
    <w:p w14:paraId="6D7FC836" w14:textId="77777777" w:rsidR="002C07D8" w:rsidRPr="007D2FB9" w:rsidRDefault="002C07D8" w:rsidP="007D2FB9">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7D2FB9">
        <w:rPr>
          <w:rFonts w:asciiTheme="majorBidi" w:eastAsiaTheme="minorHAnsi" w:hAnsiTheme="majorBidi" w:cstheme="majorBidi"/>
          <w:color w:val="333333"/>
          <w:spacing w:val="8"/>
        </w:rPr>
        <w:t>Non-denaturing buffers are used when the IP antigen is detergent-soluble and when the antibody can recognize the native form of the protein. These buffers contain non-ionic detergents, such as NP-40 or Triton X-100. Denaturing buffers, such as radio-immunoprecipitation assay (RIPA) buffer, are more stringent than non-denaturing buffers because of the addition of ionic detergents like SDS or sodium deoxycholate. While these buffers do not maintain native protein conformation, proteins that are difficult to release with non-denaturing buffers, such as nuclear proteins, can be released with denaturing buffers. Both buffers contain NaCl and Tris-HCl and have a slightly basic pH (7.4 to 8). Detergent-free buffers can also be used if the target protein can be released from cells using only physical disruption, such as mechanical homogenization or heat. These simple buffers usually consist of just EDTA in phosphate buffered saline (PBS). See the table below for the ranges of each component to aid in protocol optimization. </w:t>
      </w:r>
    </w:p>
    <w:p w14:paraId="5A30BA93" w14:textId="77777777" w:rsidR="002C07D8" w:rsidRPr="007D2FB9" w:rsidRDefault="002C07D8" w:rsidP="007D2FB9">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7D2FB9">
        <w:rPr>
          <w:rFonts w:asciiTheme="majorBidi" w:eastAsiaTheme="minorHAnsi" w:hAnsiTheme="majorBidi" w:cstheme="majorBidi"/>
          <w:color w:val="333333"/>
          <w:spacing w:val="8"/>
        </w:rPr>
        <w:t>Because cell lysates also contain proteases and phosphatases that can modify or degrade the target protein, most IP protocols are performed at 4°C. Proteasomal inhibitors, such as PMSF, aprotinin and leupeptin are commonly added to the lysis buffer just prior to use, along with sodium orthovanadate or sodium fluoride as a phosphatase inhibitor. While these components can be added individually, commercial inhibitor cocktails are available that are higher quality and easier to use.</w:t>
      </w:r>
    </w:p>
    <w:tbl>
      <w:tblPr>
        <w:tblW w:w="1063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053"/>
        <w:gridCol w:w="2582"/>
      </w:tblGrid>
      <w:tr w:rsidR="002C07D8" w14:paraId="34291E48" w14:textId="77777777" w:rsidTr="002C07D8">
        <w:tc>
          <w:tcPr>
            <w:tcW w:w="0" w:type="auto"/>
            <w:gridSpan w:val="2"/>
            <w:tcBorders>
              <w:top w:val="single" w:sz="6" w:space="0" w:color="D8D8D8"/>
              <w:left w:val="single" w:sz="6" w:space="0" w:color="D8D8D8"/>
              <w:bottom w:val="single" w:sz="6" w:space="0" w:color="D8D8D8"/>
              <w:right w:val="single" w:sz="6" w:space="0" w:color="D8D8D8"/>
            </w:tcBorders>
            <w:shd w:val="clear" w:color="auto" w:fill="F8F8F8"/>
            <w:tcMar>
              <w:top w:w="120" w:type="dxa"/>
              <w:left w:w="120" w:type="dxa"/>
              <w:bottom w:w="120" w:type="dxa"/>
              <w:right w:w="120" w:type="dxa"/>
            </w:tcMar>
            <w:hideMark/>
          </w:tcPr>
          <w:p w14:paraId="1A727617" w14:textId="77777777" w:rsidR="002C07D8" w:rsidRDefault="002C07D8">
            <w:pPr>
              <w:bidi w:val="0"/>
              <w:spacing w:after="300"/>
              <w:jc w:val="center"/>
              <w:rPr>
                <w:rFonts w:ascii="Times New Roman" w:hAnsi="Times New Roman" w:cs="Times New Roman"/>
                <w:sz w:val="24"/>
                <w:szCs w:val="24"/>
              </w:rPr>
            </w:pPr>
            <w:r>
              <w:rPr>
                <w:b/>
                <w:bCs/>
              </w:rPr>
              <w:t>IP buffer component concentration ranges for optimization </w:t>
            </w:r>
            <w:hyperlink r:id="rId42" w:anchor="references" w:history="1">
              <w:r>
                <w:rPr>
                  <w:rStyle w:val="Hyperlink"/>
                  <w:b/>
                  <w:bCs/>
                  <w:color w:val="7B26C9"/>
                </w:rPr>
                <w:t> (2)</w:t>
              </w:r>
            </w:hyperlink>
            <w:r>
              <w:rPr>
                <w:b/>
                <w:bCs/>
              </w:rPr>
              <w:t>.</w:t>
            </w:r>
          </w:p>
        </w:tc>
      </w:tr>
      <w:tr w:rsidR="002C07D8" w14:paraId="16C24E57" w14:textId="77777777" w:rsidTr="002C07D8">
        <w:tc>
          <w:tcPr>
            <w:tcW w:w="0" w:type="auto"/>
            <w:tcBorders>
              <w:top w:val="single" w:sz="6" w:space="0" w:color="D8D8D8"/>
              <w:left w:val="single" w:sz="6" w:space="0" w:color="D8D8D8"/>
              <w:bottom w:val="single" w:sz="6" w:space="0" w:color="D8D8D8"/>
              <w:right w:val="single" w:sz="6" w:space="0" w:color="D8D8D8"/>
            </w:tcBorders>
            <w:shd w:val="clear" w:color="auto" w:fill="auto"/>
            <w:tcMar>
              <w:top w:w="120" w:type="dxa"/>
              <w:left w:w="120" w:type="dxa"/>
              <w:bottom w:w="120" w:type="dxa"/>
              <w:right w:w="120" w:type="dxa"/>
            </w:tcMar>
            <w:hideMark/>
          </w:tcPr>
          <w:p w14:paraId="287B8667" w14:textId="77777777" w:rsidR="002C07D8" w:rsidRDefault="002C07D8">
            <w:pPr>
              <w:bidi w:val="0"/>
              <w:spacing w:after="300"/>
            </w:pPr>
            <w:r>
              <w:rPr>
                <w:b/>
                <w:bCs/>
              </w:rPr>
              <w:t>Component</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20" w:type="dxa"/>
              <w:left w:w="120" w:type="dxa"/>
              <w:bottom w:w="120" w:type="dxa"/>
              <w:right w:w="120" w:type="dxa"/>
            </w:tcMar>
            <w:hideMark/>
          </w:tcPr>
          <w:p w14:paraId="25DFD385" w14:textId="77777777" w:rsidR="002C07D8" w:rsidRDefault="002C07D8">
            <w:pPr>
              <w:bidi w:val="0"/>
              <w:spacing w:after="300"/>
            </w:pPr>
            <w:r>
              <w:rPr>
                <w:b/>
                <w:bCs/>
              </w:rPr>
              <w:t>Range</w:t>
            </w:r>
          </w:p>
        </w:tc>
      </w:tr>
      <w:tr w:rsidR="002C07D8" w14:paraId="08376E93" w14:textId="77777777" w:rsidTr="002C07D8">
        <w:tc>
          <w:tcPr>
            <w:tcW w:w="0" w:type="auto"/>
            <w:tcBorders>
              <w:top w:val="single" w:sz="6" w:space="0" w:color="D8D8D8"/>
              <w:left w:val="single" w:sz="6" w:space="0" w:color="D8D8D8"/>
              <w:bottom w:val="single" w:sz="6" w:space="0" w:color="D8D8D8"/>
              <w:right w:val="single" w:sz="6" w:space="0" w:color="D8D8D8"/>
            </w:tcBorders>
            <w:shd w:val="clear" w:color="auto" w:fill="F8F8F8"/>
            <w:tcMar>
              <w:top w:w="120" w:type="dxa"/>
              <w:left w:w="120" w:type="dxa"/>
              <w:bottom w:w="120" w:type="dxa"/>
              <w:right w:w="120" w:type="dxa"/>
            </w:tcMar>
            <w:hideMark/>
          </w:tcPr>
          <w:p w14:paraId="37441BD9" w14:textId="77777777" w:rsidR="002C07D8" w:rsidRDefault="002C07D8">
            <w:pPr>
              <w:bidi w:val="0"/>
              <w:spacing w:after="300"/>
            </w:pPr>
            <w:r>
              <w:lastRenderedPageBreak/>
              <w:t>Non-ionic detergents (NP-40, Triton X-100) </w:t>
            </w:r>
          </w:p>
        </w:tc>
        <w:tc>
          <w:tcPr>
            <w:tcW w:w="0" w:type="auto"/>
            <w:tcBorders>
              <w:top w:val="single" w:sz="6" w:space="0" w:color="D8D8D8"/>
              <w:left w:val="single" w:sz="6" w:space="0" w:color="D8D8D8"/>
              <w:bottom w:val="single" w:sz="6" w:space="0" w:color="D8D8D8"/>
              <w:right w:val="single" w:sz="6" w:space="0" w:color="D8D8D8"/>
            </w:tcBorders>
            <w:shd w:val="clear" w:color="auto" w:fill="F8F8F8"/>
            <w:tcMar>
              <w:top w:w="120" w:type="dxa"/>
              <w:left w:w="120" w:type="dxa"/>
              <w:bottom w:w="120" w:type="dxa"/>
              <w:right w:w="120" w:type="dxa"/>
            </w:tcMar>
            <w:hideMark/>
          </w:tcPr>
          <w:p w14:paraId="4AED2F2B" w14:textId="77777777" w:rsidR="002C07D8" w:rsidRDefault="002C07D8">
            <w:pPr>
              <w:bidi w:val="0"/>
              <w:spacing w:after="300"/>
            </w:pPr>
            <w:r>
              <w:t>0.1 to 2%</w:t>
            </w:r>
          </w:p>
        </w:tc>
      </w:tr>
      <w:tr w:rsidR="002C07D8" w14:paraId="69679F7F" w14:textId="77777777" w:rsidTr="002C07D8">
        <w:tc>
          <w:tcPr>
            <w:tcW w:w="0" w:type="auto"/>
            <w:tcBorders>
              <w:top w:val="single" w:sz="6" w:space="0" w:color="D8D8D8"/>
              <w:left w:val="single" w:sz="6" w:space="0" w:color="D8D8D8"/>
              <w:bottom w:val="single" w:sz="6" w:space="0" w:color="D8D8D8"/>
              <w:right w:val="single" w:sz="6" w:space="0" w:color="D8D8D8"/>
            </w:tcBorders>
            <w:shd w:val="clear" w:color="auto" w:fill="auto"/>
            <w:tcMar>
              <w:top w:w="120" w:type="dxa"/>
              <w:left w:w="120" w:type="dxa"/>
              <w:bottom w:w="120" w:type="dxa"/>
              <w:right w:w="120" w:type="dxa"/>
            </w:tcMar>
            <w:hideMark/>
          </w:tcPr>
          <w:p w14:paraId="5199AABC" w14:textId="77777777" w:rsidR="002C07D8" w:rsidRDefault="002C07D8">
            <w:pPr>
              <w:bidi w:val="0"/>
              <w:spacing w:after="300"/>
            </w:pPr>
            <w:r>
              <w:t>Ionic detergents (SDS, sodium deoxycholate)</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20" w:type="dxa"/>
              <w:left w:w="120" w:type="dxa"/>
              <w:bottom w:w="120" w:type="dxa"/>
              <w:right w:w="120" w:type="dxa"/>
            </w:tcMar>
            <w:hideMark/>
          </w:tcPr>
          <w:p w14:paraId="0F37C405" w14:textId="77777777" w:rsidR="002C07D8" w:rsidRDefault="002C07D8">
            <w:pPr>
              <w:bidi w:val="0"/>
              <w:spacing w:after="300"/>
            </w:pPr>
            <w:r>
              <w:t>0.01 to 0.5%</w:t>
            </w:r>
          </w:p>
        </w:tc>
      </w:tr>
      <w:tr w:rsidR="002C07D8" w14:paraId="6FB682FA" w14:textId="77777777" w:rsidTr="002C07D8">
        <w:tc>
          <w:tcPr>
            <w:tcW w:w="0" w:type="auto"/>
            <w:tcBorders>
              <w:top w:val="single" w:sz="6" w:space="0" w:color="D8D8D8"/>
              <w:left w:val="single" w:sz="6" w:space="0" w:color="D8D8D8"/>
              <w:bottom w:val="single" w:sz="6" w:space="0" w:color="D8D8D8"/>
              <w:right w:val="single" w:sz="6" w:space="0" w:color="D8D8D8"/>
            </w:tcBorders>
            <w:shd w:val="clear" w:color="auto" w:fill="F8F8F8"/>
            <w:tcMar>
              <w:top w:w="120" w:type="dxa"/>
              <w:left w:w="120" w:type="dxa"/>
              <w:bottom w:w="120" w:type="dxa"/>
              <w:right w:w="120" w:type="dxa"/>
            </w:tcMar>
            <w:hideMark/>
          </w:tcPr>
          <w:p w14:paraId="475EC75E" w14:textId="77777777" w:rsidR="002C07D8" w:rsidRDefault="002C07D8">
            <w:pPr>
              <w:bidi w:val="0"/>
              <w:spacing w:after="300"/>
            </w:pPr>
            <w:r>
              <w:t>NaCl (sodium chloride, salt) </w:t>
            </w:r>
          </w:p>
        </w:tc>
        <w:tc>
          <w:tcPr>
            <w:tcW w:w="0" w:type="auto"/>
            <w:tcBorders>
              <w:top w:val="single" w:sz="6" w:space="0" w:color="D8D8D8"/>
              <w:left w:val="single" w:sz="6" w:space="0" w:color="D8D8D8"/>
              <w:bottom w:val="single" w:sz="6" w:space="0" w:color="D8D8D8"/>
              <w:right w:val="single" w:sz="6" w:space="0" w:color="D8D8D8"/>
            </w:tcBorders>
            <w:shd w:val="clear" w:color="auto" w:fill="F8F8F8"/>
            <w:tcMar>
              <w:top w:w="120" w:type="dxa"/>
              <w:left w:w="120" w:type="dxa"/>
              <w:bottom w:w="120" w:type="dxa"/>
              <w:right w:w="120" w:type="dxa"/>
            </w:tcMar>
            <w:hideMark/>
          </w:tcPr>
          <w:p w14:paraId="1A134122" w14:textId="77777777" w:rsidR="002C07D8" w:rsidRDefault="002C07D8">
            <w:pPr>
              <w:bidi w:val="0"/>
              <w:spacing w:after="300"/>
            </w:pPr>
            <w:r>
              <w:t>0 to 1M</w:t>
            </w:r>
          </w:p>
        </w:tc>
      </w:tr>
      <w:tr w:rsidR="002C07D8" w14:paraId="5C6B1E60" w14:textId="77777777" w:rsidTr="002C07D8">
        <w:tc>
          <w:tcPr>
            <w:tcW w:w="0" w:type="auto"/>
            <w:tcBorders>
              <w:top w:val="single" w:sz="6" w:space="0" w:color="D8D8D8"/>
              <w:left w:val="single" w:sz="6" w:space="0" w:color="D8D8D8"/>
              <w:bottom w:val="single" w:sz="6" w:space="0" w:color="D8D8D8"/>
              <w:right w:val="single" w:sz="6" w:space="0" w:color="D8D8D8"/>
            </w:tcBorders>
            <w:shd w:val="clear" w:color="auto" w:fill="auto"/>
            <w:tcMar>
              <w:top w:w="120" w:type="dxa"/>
              <w:left w:w="120" w:type="dxa"/>
              <w:bottom w:w="120" w:type="dxa"/>
              <w:right w:w="120" w:type="dxa"/>
            </w:tcMar>
            <w:hideMark/>
          </w:tcPr>
          <w:p w14:paraId="47CB918D" w14:textId="77777777" w:rsidR="002C07D8" w:rsidRDefault="002C07D8">
            <w:pPr>
              <w:bidi w:val="0"/>
              <w:spacing w:after="300"/>
            </w:pPr>
            <w:r>
              <w:t>Divalent cations</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20" w:type="dxa"/>
              <w:left w:w="120" w:type="dxa"/>
              <w:bottom w:w="120" w:type="dxa"/>
              <w:right w:w="120" w:type="dxa"/>
            </w:tcMar>
            <w:hideMark/>
          </w:tcPr>
          <w:p w14:paraId="679BBB3E" w14:textId="77777777" w:rsidR="002C07D8" w:rsidRDefault="002C07D8">
            <w:pPr>
              <w:bidi w:val="0"/>
              <w:spacing w:after="300"/>
            </w:pPr>
            <w:r>
              <w:t>0 to 10mM</w:t>
            </w:r>
          </w:p>
        </w:tc>
      </w:tr>
      <w:tr w:rsidR="002C07D8" w14:paraId="01DE523A" w14:textId="77777777" w:rsidTr="002C07D8">
        <w:tc>
          <w:tcPr>
            <w:tcW w:w="0" w:type="auto"/>
            <w:tcBorders>
              <w:top w:val="single" w:sz="6" w:space="0" w:color="D8D8D8"/>
              <w:left w:val="single" w:sz="6" w:space="0" w:color="D8D8D8"/>
              <w:bottom w:val="single" w:sz="6" w:space="0" w:color="D8D8D8"/>
              <w:right w:val="single" w:sz="6" w:space="0" w:color="D8D8D8"/>
            </w:tcBorders>
            <w:shd w:val="clear" w:color="auto" w:fill="F8F8F8"/>
            <w:tcMar>
              <w:top w:w="120" w:type="dxa"/>
              <w:left w:w="120" w:type="dxa"/>
              <w:bottom w:w="120" w:type="dxa"/>
              <w:right w:w="120" w:type="dxa"/>
            </w:tcMar>
            <w:hideMark/>
          </w:tcPr>
          <w:p w14:paraId="14793573" w14:textId="77777777" w:rsidR="002C07D8" w:rsidRDefault="002C07D8">
            <w:pPr>
              <w:bidi w:val="0"/>
              <w:spacing w:after="300"/>
            </w:pPr>
            <w:r>
              <w:t>pH </w:t>
            </w:r>
          </w:p>
        </w:tc>
        <w:tc>
          <w:tcPr>
            <w:tcW w:w="0" w:type="auto"/>
            <w:tcBorders>
              <w:top w:val="single" w:sz="6" w:space="0" w:color="D8D8D8"/>
              <w:left w:val="single" w:sz="6" w:space="0" w:color="D8D8D8"/>
              <w:bottom w:val="single" w:sz="6" w:space="0" w:color="D8D8D8"/>
              <w:right w:val="single" w:sz="6" w:space="0" w:color="D8D8D8"/>
            </w:tcBorders>
            <w:shd w:val="clear" w:color="auto" w:fill="F8F8F8"/>
            <w:tcMar>
              <w:top w:w="120" w:type="dxa"/>
              <w:left w:w="120" w:type="dxa"/>
              <w:bottom w:w="120" w:type="dxa"/>
              <w:right w:w="120" w:type="dxa"/>
            </w:tcMar>
            <w:hideMark/>
          </w:tcPr>
          <w:p w14:paraId="090437D3" w14:textId="77777777" w:rsidR="002C07D8" w:rsidRDefault="002C07D8">
            <w:pPr>
              <w:bidi w:val="0"/>
              <w:spacing w:after="300"/>
            </w:pPr>
            <w:r>
              <w:t>6 to 9</w:t>
            </w:r>
          </w:p>
        </w:tc>
      </w:tr>
      <w:tr w:rsidR="002C07D8" w14:paraId="0A3EEA0A" w14:textId="77777777" w:rsidTr="002C07D8">
        <w:tc>
          <w:tcPr>
            <w:tcW w:w="0" w:type="auto"/>
            <w:tcBorders>
              <w:top w:val="single" w:sz="6" w:space="0" w:color="D8D8D8"/>
              <w:left w:val="single" w:sz="6" w:space="0" w:color="D8D8D8"/>
              <w:bottom w:val="single" w:sz="6" w:space="0" w:color="D8D8D8"/>
              <w:right w:val="single" w:sz="6" w:space="0" w:color="D8D8D8"/>
            </w:tcBorders>
            <w:shd w:val="clear" w:color="auto" w:fill="auto"/>
            <w:tcMar>
              <w:top w:w="120" w:type="dxa"/>
              <w:left w:w="120" w:type="dxa"/>
              <w:bottom w:w="120" w:type="dxa"/>
              <w:right w:w="120" w:type="dxa"/>
            </w:tcMar>
            <w:hideMark/>
          </w:tcPr>
          <w:p w14:paraId="490533DE" w14:textId="77777777" w:rsidR="002C07D8" w:rsidRDefault="002C07D8">
            <w:pPr>
              <w:bidi w:val="0"/>
              <w:spacing w:after="300"/>
            </w:pPr>
            <w:r>
              <w:t>EDTA</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20" w:type="dxa"/>
              <w:left w:w="120" w:type="dxa"/>
              <w:bottom w:w="120" w:type="dxa"/>
              <w:right w:w="120" w:type="dxa"/>
            </w:tcMar>
            <w:hideMark/>
          </w:tcPr>
          <w:p w14:paraId="67A39959" w14:textId="77777777" w:rsidR="002C07D8" w:rsidRDefault="002C07D8">
            <w:pPr>
              <w:bidi w:val="0"/>
              <w:spacing w:after="300"/>
            </w:pPr>
            <w:r>
              <w:t>0 to 5mM</w:t>
            </w:r>
          </w:p>
        </w:tc>
      </w:tr>
    </w:tbl>
    <w:p w14:paraId="4C5CDEF6" w14:textId="77777777" w:rsidR="002C07D8" w:rsidRDefault="002C07D8" w:rsidP="002C07D8">
      <w:pPr>
        <w:pStyle w:val="Heading3"/>
        <w:shd w:val="clear" w:color="auto" w:fill="FFFFFF"/>
        <w:spacing w:before="165" w:beforeAutospacing="0" w:after="165" w:afterAutospacing="0" w:line="287" w:lineRule="atLeast"/>
        <w:rPr>
          <w:rFonts w:ascii="Helvetica" w:hAnsi="Helvetica" w:cs="Helvetica"/>
          <w:color w:val="333333"/>
          <w:spacing w:val="8"/>
          <w:sz w:val="24"/>
          <w:szCs w:val="24"/>
        </w:rPr>
      </w:pPr>
      <w:r>
        <w:rPr>
          <w:rFonts w:ascii="Helvetica" w:hAnsi="Helvetica" w:cs="Helvetica"/>
          <w:color w:val="333333"/>
          <w:spacing w:val="8"/>
          <w:sz w:val="24"/>
          <w:szCs w:val="24"/>
        </w:rPr>
        <w:t>Sample preclearing (optional for magnetic beads)</w:t>
      </w:r>
    </w:p>
    <w:p w14:paraId="21E25963" w14:textId="77777777" w:rsidR="002C07D8" w:rsidRPr="007D2FB9" w:rsidRDefault="002C07D8" w:rsidP="007D2FB9">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7D2FB9">
        <w:rPr>
          <w:rFonts w:asciiTheme="majorBidi" w:eastAsiaTheme="minorHAnsi" w:hAnsiTheme="majorBidi" w:cstheme="majorBidi"/>
          <w:color w:val="333333"/>
          <w:spacing w:val="8"/>
        </w:rPr>
        <w:t>Because lysates are complex mixtures of proteins, lipids, carbohydrates and nucleic acids, one must generally assume that some amount of nonspecific binding to the IP antibody, Protein A/G, or the beaded support might occur and negatively affect the detection of the immunoprecipitated target(s).</w:t>
      </w:r>
    </w:p>
    <w:p w14:paraId="038BF286" w14:textId="77777777" w:rsidR="002C07D8" w:rsidRPr="007D2FB9" w:rsidRDefault="002C07D8" w:rsidP="007D2FB9">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7D2FB9">
        <w:rPr>
          <w:rFonts w:asciiTheme="majorBidi" w:eastAsiaTheme="minorHAnsi" w:hAnsiTheme="majorBidi" w:cstheme="majorBidi"/>
          <w:color w:val="333333"/>
          <w:spacing w:val="8"/>
        </w:rPr>
        <w:t>Preclearing is designed to remove potentially reactive, non-specific components from a lysate sample prior to the actual immunoprecipitation procedure. Preclearing is frequently necessary when using agarose beads, but it is seldom required when using magnetic beads (see videos below).</w:t>
      </w:r>
    </w:p>
    <w:p w14:paraId="2AE3C411" w14:textId="77777777" w:rsidR="002C07D8" w:rsidRPr="007D2FB9" w:rsidRDefault="002C07D8" w:rsidP="007D2FB9">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7D2FB9">
        <w:rPr>
          <w:rFonts w:asciiTheme="majorBidi" w:eastAsiaTheme="minorHAnsi" w:hAnsiTheme="majorBidi" w:cstheme="majorBidi"/>
          <w:color w:val="333333"/>
          <w:spacing w:val="8"/>
        </w:rPr>
        <w:t xml:space="preserve">The basic approach to preclear a lysate is to incubate the sample with </w:t>
      </w:r>
      <w:proofErr w:type="gramStart"/>
      <w:r w:rsidRPr="007D2FB9">
        <w:rPr>
          <w:rFonts w:asciiTheme="majorBidi" w:eastAsiaTheme="minorHAnsi" w:hAnsiTheme="majorBidi" w:cstheme="majorBidi"/>
          <w:color w:val="333333"/>
          <w:spacing w:val="8"/>
        </w:rPr>
        <w:t>exactly the same</w:t>
      </w:r>
      <w:proofErr w:type="gramEnd"/>
      <w:r w:rsidRPr="007D2FB9">
        <w:rPr>
          <w:rFonts w:asciiTheme="majorBidi" w:eastAsiaTheme="minorHAnsi" w:hAnsiTheme="majorBidi" w:cstheme="majorBidi"/>
          <w:color w:val="333333"/>
          <w:spacing w:val="8"/>
        </w:rPr>
        <w:t xml:space="preserve"> components that will be used for the immunoprecipitation, except use a nonspecific antibody from the same host species as the IP antibody. Any nonspecific immune complexes will form and be immobilized to the beaded support. Additionally, if Protein A/G or agarose beads are used, this approach will allow nonspecific binding to these IP components, which along with the nonspecific immune complexes are removed from the lysate. If successful, the nonspecific lysate products will be removed by this preclearing step so that they will not co-purify with the target antigen in the actual IP experiment.</w:t>
      </w:r>
    </w:p>
    <w:p w14:paraId="7EE57B4A" w14:textId="77777777" w:rsidR="002C07D8" w:rsidRPr="007D2FB9" w:rsidRDefault="002C07D8" w:rsidP="007D2FB9">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7D2FB9">
        <w:rPr>
          <w:rFonts w:asciiTheme="majorBidi" w:eastAsiaTheme="minorHAnsi" w:hAnsiTheme="majorBidi" w:cstheme="majorBidi"/>
          <w:color w:val="333333"/>
          <w:spacing w:val="8"/>
        </w:rPr>
        <w:t>These nonspecific immune complexes may be used as a negative control for an IP or co-IP experiment; any products obtained with these control conditions can be attributed to nonspecific (off-target) interactions. One advantage of the direct immobilization strategy described above is that it is devoid of Protein A/G as a component, thereby eliminating one potential source of nonspecific binding interactions in the assay system. </w:t>
      </w:r>
    </w:p>
    <w:p w14:paraId="44B7D226" w14:textId="77777777" w:rsidR="002C07D8" w:rsidRDefault="002C07D8" w:rsidP="002C07D8">
      <w:pPr>
        <w:pStyle w:val="Heading3"/>
        <w:shd w:val="clear" w:color="auto" w:fill="FFFFFF"/>
        <w:spacing w:before="165" w:beforeAutospacing="0" w:after="165" w:afterAutospacing="0" w:line="287" w:lineRule="atLeast"/>
        <w:rPr>
          <w:rFonts w:ascii="Helvetica" w:hAnsi="Helvetica" w:cs="Helvetica"/>
          <w:color w:val="333333"/>
          <w:spacing w:val="8"/>
          <w:sz w:val="24"/>
          <w:szCs w:val="24"/>
        </w:rPr>
      </w:pPr>
      <w:r>
        <w:rPr>
          <w:rFonts w:ascii="Helvetica" w:hAnsi="Helvetica" w:cs="Helvetica"/>
          <w:color w:val="333333"/>
          <w:spacing w:val="8"/>
          <w:sz w:val="24"/>
          <w:szCs w:val="24"/>
        </w:rPr>
        <w:t>Binding and wash buffers</w:t>
      </w:r>
    </w:p>
    <w:p w14:paraId="5B05D6D7" w14:textId="77777777" w:rsidR="002C07D8" w:rsidRPr="007D2FB9" w:rsidRDefault="002C07D8" w:rsidP="007D2FB9">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7D2FB9">
        <w:rPr>
          <w:rFonts w:asciiTheme="majorBidi" w:eastAsiaTheme="minorHAnsi" w:hAnsiTheme="majorBidi" w:cstheme="majorBidi"/>
          <w:color w:val="333333"/>
          <w:spacing w:val="8"/>
        </w:rPr>
        <w:lastRenderedPageBreak/>
        <w:t xml:space="preserve">During the immunoprecipitation, assembling the immune complexes and maintaining complex stability depend on the compatibility of the binding buffer with </w:t>
      </w:r>
      <w:proofErr w:type="gramStart"/>
      <w:r w:rsidRPr="007D2FB9">
        <w:rPr>
          <w:rFonts w:asciiTheme="majorBidi" w:eastAsiaTheme="minorHAnsi" w:hAnsiTheme="majorBidi" w:cstheme="majorBidi"/>
          <w:color w:val="333333"/>
          <w:spacing w:val="8"/>
        </w:rPr>
        <w:t>all of</w:t>
      </w:r>
      <w:proofErr w:type="gramEnd"/>
      <w:r w:rsidRPr="007D2FB9">
        <w:rPr>
          <w:rFonts w:asciiTheme="majorBidi" w:eastAsiaTheme="minorHAnsi" w:hAnsiTheme="majorBidi" w:cstheme="majorBidi"/>
          <w:color w:val="333333"/>
          <w:spacing w:val="8"/>
        </w:rPr>
        <w:t xml:space="preserve"> the component binding interactions. In most cases, antibody-antigen interactions are </w:t>
      </w:r>
      <w:proofErr w:type="gramStart"/>
      <w:r w:rsidRPr="007D2FB9">
        <w:rPr>
          <w:rFonts w:asciiTheme="majorBidi" w:eastAsiaTheme="minorHAnsi" w:hAnsiTheme="majorBidi" w:cstheme="majorBidi"/>
          <w:color w:val="333333"/>
          <w:spacing w:val="8"/>
        </w:rPr>
        <w:t>fairly robust</w:t>
      </w:r>
      <w:proofErr w:type="gramEnd"/>
      <w:r w:rsidRPr="007D2FB9">
        <w:rPr>
          <w:rFonts w:asciiTheme="majorBidi" w:eastAsiaTheme="minorHAnsi" w:hAnsiTheme="majorBidi" w:cstheme="majorBidi"/>
          <w:color w:val="333333"/>
          <w:spacing w:val="8"/>
        </w:rPr>
        <w:t xml:space="preserve"> and will occur in any standard ionic strength buffer of near-neutral pH, such as PBS. By contrast, bait-prey interactions range in strength and time from irreversible and long-lived to labile and transient, which will be influenced by both the binding conditions and the temporal completion of protocol steps.</w:t>
      </w:r>
    </w:p>
    <w:p w14:paraId="0A0FEA8C" w14:textId="77777777" w:rsidR="002C07D8" w:rsidRPr="007D2FB9" w:rsidRDefault="002C07D8" w:rsidP="007D2FB9">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7D2FB9">
        <w:rPr>
          <w:rFonts w:asciiTheme="majorBidi" w:eastAsiaTheme="minorHAnsi" w:hAnsiTheme="majorBidi" w:cstheme="majorBidi"/>
          <w:color w:val="333333"/>
          <w:spacing w:val="8"/>
        </w:rPr>
        <w:t>Even after lysate preclearing, IP components will still pull down nonspecific cellular components that must be removed by gentle washes prior to sample elution. Multiple washes with simple wash buffers, such as PBS either alone or with low detergent concentrations or by moderate adjustments to salt concentration, can be used to remove these contaminants.</w:t>
      </w:r>
    </w:p>
    <w:p w14:paraId="1FA5BAAD" w14:textId="77777777" w:rsidR="002C07D8" w:rsidRDefault="002C07D8" w:rsidP="002C07D8">
      <w:pPr>
        <w:pStyle w:val="Heading3"/>
        <w:shd w:val="clear" w:color="auto" w:fill="FFFFFF"/>
        <w:spacing w:before="165" w:beforeAutospacing="0" w:after="165" w:afterAutospacing="0" w:line="287" w:lineRule="atLeast"/>
        <w:rPr>
          <w:rFonts w:ascii="Helvetica" w:hAnsi="Helvetica" w:cs="Helvetica"/>
          <w:color w:val="333333"/>
          <w:spacing w:val="8"/>
          <w:sz w:val="24"/>
          <w:szCs w:val="24"/>
        </w:rPr>
      </w:pPr>
      <w:r>
        <w:rPr>
          <w:rFonts w:ascii="Helvetica" w:hAnsi="Helvetica" w:cs="Helvetica"/>
          <w:color w:val="333333"/>
          <w:spacing w:val="8"/>
          <w:sz w:val="24"/>
          <w:szCs w:val="24"/>
        </w:rPr>
        <w:t>Elution buffers</w:t>
      </w:r>
    </w:p>
    <w:p w14:paraId="33F75311" w14:textId="77777777" w:rsidR="002C07D8" w:rsidRPr="007D2FB9" w:rsidRDefault="002C07D8" w:rsidP="007D2FB9">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7D2FB9">
        <w:rPr>
          <w:rFonts w:asciiTheme="majorBidi" w:eastAsiaTheme="minorHAnsi" w:hAnsiTheme="majorBidi" w:cstheme="majorBidi"/>
          <w:color w:val="333333"/>
          <w:spacing w:val="8"/>
        </w:rPr>
        <w:t>Traditional IP for downstream analysis by reducing SDS-PAGE and western blot detection typically involves elution directly in reducing SDS-PAGE sample buffer. This buffer, which is designed to denature and reduce proteins for electrophoresis, is very effective in dissociating the affinity interactions upon which IP is based. Other downstream applications for IP products are not compatible with this buffer system, nor is it possible to take advantage of certain IP methods, such as antigen elution, without antibody fragment contamination in the direct or crosslink IP methods, when this elution buffer condition is used.</w:t>
      </w:r>
    </w:p>
    <w:p w14:paraId="323A934F" w14:textId="77777777" w:rsidR="002C07D8" w:rsidRPr="007D2FB9" w:rsidRDefault="002C07D8" w:rsidP="007D2FB9">
      <w:pPr>
        <w:pStyle w:val="NormalWeb"/>
        <w:shd w:val="clear" w:color="auto" w:fill="FFFFFF"/>
        <w:spacing w:before="0" w:beforeAutospacing="0" w:after="300" w:afterAutospacing="0"/>
        <w:jc w:val="both"/>
        <w:rPr>
          <w:rFonts w:asciiTheme="majorBidi" w:eastAsiaTheme="minorHAnsi" w:hAnsiTheme="majorBidi" w:cstheme="majorBidi"/>
          <w:color w:val="333333"/>
          <w:spacing w:val="8"/>
        </w:rPr>
      </w:pPr>
      <w:r w:rsidRPr="007D2FB9">
        <w:rPr>
          <w:rFonts w:asciiTheme="majorBidi" w:eastAsiaTheme="minorHAnsi" w:hAnsiTheme="majorBidi" w:cstheme="majorBidi"/>
          <w:color w:val="333333"/>
          <w:spacing w:val="8"/>
        </w:rPr>
        <w:t xml:space="preserve">The most generally effective, nondenaturing elution buffer for protein affinity purification methods is 0.1 M glycine at pH 2.5 to 3. The low pH condition dissociates most antibody-antigen interactions, as well as the antibody-Protein A/G interaction, </w:t>
      </w:r>
      <w:proofErr w:type="gramStart"/>
      <w:r w:rsidRPr="007D2FB9">
        <w:rPr>
          <w:rFonts w:asciiTheme="majorBidi" w:eastAsiaTheme="minorHAnsi" w:hAnsiTheme="majorBidi" w:cstheme="majorBidi"/>
          <w:color w:val="333333"/>
          <w:spacing w:val="8"/>
        </w:rPr>
        <w:t>assuming that</w:t>
      </w:r>
      <w:proofErr w:type="gramEnd"/>
      <w:r w:rsidRPr="007D2FB9">
        <w:rPr>
          <w:rFonts w:asciiTheme="majorBidi" w:eastAsiaTheme="minorHAnsi" w:hAnsiTheme="majorBidi" w:cstheme="majorBidi"/>
          <w:color w:val="333333"/>
          <w:spacing w:val="8"/>
        </w:rPr>
        <w:t xml:space="preserve"> it has not been crosslinked. However, low-pH glycine is not universally effective; some antibody-antigen interactions do not dissociate with this buffer, and conversely, some antibodies and target antigens denature or become inactive in this buffer. Several alternative types of elution buffers are described in the following documents.</w:t>
      </w:r>
    </w:p>
    <w:p w14:paraId="59D08EED" w14:textId="77777777" w:rsidR="002C07D8" w:rsidRDefault="002C07D8" w:rsidP="002C07D8">
      <w:pPr>
        <w:pStyle w:val="Heading2"/>
        <w:shd w:val="clear" w:color="auto" w:fill="FFFFFF"/>
        <w:spacing w:before="75" w:beforeAutospacing="0" w:after="165" w:afterAutospacing="0" w:line="347" w:lineRule="atLeast"/>
        <w:rPr>
          <w:rFonts w:ascii="Helvetica" w:hAnsi="Helvetica" w:cs="Helvetica"/>
          <w:b w:val="0"/>
          <w:bCs w:val="0"/>
          <w:color w:val="333333"/>
          <w:spacing w:val="8"/>
          <w:sz w:val="33"/>
          <w:szCs w:val="33"/>
        </w:rPr>
      </w:pPr>
      <w:r>
        <w:rPr>
          <w:rFonts w:ascii="Helvetica" w:hAnsi="Helvetica" w:cs="Helvetica"/>
          <w:b w:val="0"/>
          <w:bCs w:val="0"/>
          <w:color w:val="333333"/>
          <w:spacing w:val="8"/>
          <w:sz w:val="33"/>
          <w:szCs w:val="33"/>
        </w:rPr>
        <w:t>References</w:t>
      </w:r>
    </w:p>
    <w:p w14:paraId="31080BEA" w14:textId="593F6658" w:rsidR="002C07D8" w:rsidRPr="007D2FB9" w:rsidRDefault="002C07D8" w:rsidP="007D2FB9">
      <w:pPr>
        <w:pStyle w:val="NormalWeb"/>
        <w:numPr>
          <w:ilvl w:val="0"/>
          <w:numId w:val="28"/>
        </w:numPr>
        <w:shd w:val="clear" w:color="auto" w:fill="FFFFFF"/>
        <w:spacing w:before="0" w:beforeAutospacing="0" w:after="300" w:afterAutospacing="0"/>
        <w:jc w:val="both"/>
        <w:rPr>
          <w:rFonts w:asciiTheme="majorBidi" w:eastAsiaTheme="minorHAnsi" w:hAnsiTheme="majorBidi" w:cstheme="majorBidi"/>
          <w:color w:val="333333"/>
          <w:spacing w:val="8"/>
        </w:rPr>
      </w:pPr>
      <w:proofErr w:type="spellStart"/>
      <w:r w:rsidRPr="007D2FB9">
        <w:rPr>
          <w:rFonts w:asciiTheme="majorBidi" w:eastAsiaTheme="minorHAnsi" w:hAnsiTheme="majorBidi" w:cstheme="majorBidi"/>
          <w:color w:val="333333"/>
          <w:spacing w:val="8"/>
        </w:rPr>
        <w:t>Bjorck</w:t>
      </w:r>
      <w:proofErr w:type="spellEnd"/>
      <w:r w:rsidRPr="007D2FB9">
        <w:rPr>
          <w:rFonts w:asciiTheme="majorBidi" w:eastAsiaTheme="minorHAnsi" w:hAnsiTheme="majorBidi" w:cstheme="majorBidi"/>
          <w:color w:val="333333"/>
          <w:spacing w:val="8"/>
        </w:rPr>
        <w:t> L. and </w:t>
      </w:r>
      <w:proofErr w:type="spellStart"/>
      <w:r w:rsidRPr="007D2FB9">
        <w:rPr>
          <w:rFonts w:asciiTheme="majorBidi" w:eastAsiaTheme="minorHAnsi" w:hAnsiTheme="majorBidi" w:cstheme="majorBidi"/>
          <w:color w:val="333333"/>
          <w:spacing w:val="8"/>
        </w:rPr>
        <w:t>Kronvall</w:t>
      </w:r>
      <w:proofErr w:type="spellEnd"/>
      <w:r w:rsidRPr="007D2FB9">
        <w:rPr>
          <w:rFonts w:asciiTheme="majorBidi" w:eastAsiaTheme="minorHAnsi" w:hAnsiTheme="majorBidi" w:cstheme="majorBidi"/>
          <w:color w:val="333333"/>
          <w:spacing w:val="8"/>
        </w:rPr>
        <w:t> G. (1984) Purification and some properties of streptococcal protein g, a novel IgG-binding reagent. J Immunol. 133, 969-74.</w:t>
      </w:r>
    </w:p>
    <w:p w14:paraId="1CBDE67A" w14:textId="77777777" w:rsidR="002C07D8" w:rsidRPr="007D2FB9" w:rsidRDefault="002C07D8" w:rsidP="007D2FB9">
      <w:pPr>
        <w:pStyle w:val="NormalWeb"/>
        <w:numPr>
          <w:ilvl w:val="0"/>
          <w:numId w:val="28"/>
        </w:numPr>
        <w:shd w:val="clear" w:color="auto" w:fill="FFFFFF"/>
        <w:spacing w:before="0" w:beforeAutospacing="0" w:after="300" w:afterAutospacing="0"/>
        <w:jc w:val="both"/>
        <w:rPr>
          <w:rFonts w:asciiTheme="majorBidi" w:eastAsiaTheme="minorHAnsi" w:hAnsiTheme="majorBidi" w:cstheme="majorBidi"/>
          <w:color w:val="333333"/>
          <w:spacing w:val="8"/>
        </w:rPr>
      </w:pPr>
      <w:r w:rsidRPr="007D2FB9">
        <w:rPr>
          <w:rFonts w:asciiTheme="majorBidi" w:eastAsiaTheme="minorHAnsi" w:hAnsiTheme="majorBidi" w:cstheme="majorBidi"/>
          <w:color w:val="333333"/>
          <w:spacing w:val="8"/>
        </w:rPr>
        <w:t>Harlow, Ed, and Lane, David. (1999) Antibodies: A Laboratory Manual. Cold Spring Harbor, New York: Cold Spring Harbor Laboratory Press.</w:t>
      </w:r>
    </w:p>
    <w:p w14:paraId="3C3FA153" w14:textId="77777777" w:rsidR="002C07D8" w:rsidRPr="007D2FB9" w:rsidRDefault="002C07D8" w:rsidP="007D2FB9">
      <w:pPr>
        <w:pStyle w:val="NormalWeb"/>
        <w:numPr>
          <w:ilvl w:val="0"/>
          <w:numId w:val="28"/>
        </w:numPr>
        <w:shd w:val="clear" w:color="auto" w:fill="FFFFFF"/>
        <w:spacing w:before="0" w:beforeAutospacing="0" w:after="300" w:afterAutospacing="0"/>
        <w:jc w:val="both"/>
        <w:rPr>
          <w:rFonts w:asciiTheme="majorBidi" w:eastAsiaTheme="minorHAnsi" w:hAnsiTheme="majorBidi" w:cstheme="majorBidi"/>
          <w:color w:val="333333"/>
          <w:spacing w:val="8"/>
        </w:rPr>
      </w:pPr>
      <w:proofErr w:type="spellStart"/>
      <w:r w:rsidRPr="007D2FB9">
        <w:rPr>
          <w:rFonts w:asciiTheme="majorBidi" w:eastAsiaTheme="minorHAnsi" w:hAnsiTheme="majorBidi" w:cstheme="majorBidi"/>
          <w:color w:val="333333"/>
          <w:spacing w:val="8"/>
        </w:rPr>
        <w:t>Wikstrom</w:t>
      </w:r>
      <w:proofErr w:type="spellEnd"/>
      <w:r w:rsidRPr="007D2FB9">
        <w:rPr>
          <w:rFonts w:asciiTheme="majorBidi" w:eastAsiaTheme="minorHAnsi" w:hAnsiTheme="majorBidi" w:cstheme="majorBidi"/>
          <w:color w:val="333333"/>
          <w:spacing w:val="8"/>
        </w:rPr>
        <w:t xml:space="preserve"> M. et al. (1995) Mapping of the immunoglobulin light chain-binding site of protein l. J Mol Biol. 250, 128-33.</w:t>
      </w:r>
    </w:p>
    <w:p w14:paraId="229B9249" w14:textId="6867EC5F" w:rsidR="005C7872" w:rsidRPr="007D2FB9" w:rsidRDefault="005C7872" w:rsidP="007D2FB9">
      <w:pPr>
        <w:pStyle w:val="NormalWeb"/>
        <w:numPr>
          <w:ilvl w:val="0"/>
          <w:numId w:val="28"/>
        </w:numPr>
        <w:shd w:val="clear" w:color="auto" w:fill="FFFFFF"/>
        <w:spacing w:before="0" w:beforeAutospacing="0" w:after="300" w:afterAutospacing="0"/>
        <w:jc w:val="both"/>
        <w:rPr>
          <w:rFonts w:asciiTheme="majorBidi" w:eastAsiaTheme="minorHAnsi" w:hAnsiTheme="majorBidi" w:cstheme="majorBidi"/>
          <w:color w:val="333333"/>
          <w:spacing w:val="8"/>
        </w:rPr>
      </w:pPr>
      <w:r w:rsidRPr="007D2FB9">
        <w:rPr>
          <w:rFonts w:asciiTheme="majorBidi" w:eastAsiaTheme="minorHAnsi" w:hAnsiTheme="majorBidi" w:cstheme="majorBidi" w:hint="eastAsia"/>
          <w:color w:val="333333"/>
          <w:spacing w:val="8"/>
        </w:rPr>
        <w:br/>
      </w:r>
      <w:r w:rsidRPr="007D2FB9">
        <w:rPr>
          <w:rFonts w:asciiTheme="majorBidi" w:eastAsiaTheme="minorHAnsi" w:hAnsiTheme="majorBidi" w:cstheme="majorBidi" w:hint="eastAsia"/>
          <w:color w:val="333333"/>
          <w:spacing w:val="8"/>
        </w:rPr>
        <w:br/>
      </w:r>
      <w:r w:rsidRPr="007D2FB9">
        <w:rPr>
          <w:rFonts w:asciiTheme="majorBidi" w:eastAsiaTheme="minorHAnsi" w:hAnsiTheme="majorBidi" w:cstheme="majorBidi" w:hint="eastAsia"/>
          <w:color w:val="333333"/>
          <w:spacing w:val="8"/>
        </w:rPr>
        <w:lastRenderedPageBreak/>
        <w:br/>
      </w:r>
    </w:p>
    <w:sectPr w:rsidR="005C7872" w:rsidRPr="007D2FB9" w:rsidSect="00484255">
      <w:headerReference w:type="default" r:id="rId43"/>
      <w:footerReference w:type="default" r:id="rId44"/>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19A04" w14:textId="77777777" w:rsidR="00FB33FF" w:rsidRDefault="00FB33FF" w:rsidP="00075C61">
      <w:pPr>
        <w:spacing w:after="0" w:line="240" w:lineRule="auto"/>
      </w:pPr>
      <w:r>
        <w:separator/>
      </w:r>
    </w:p>
  </w:endnote>
  <w:endnote w:type="continuationSeparator" w:id="0">
    <w:p w14:paraId="3BCC0356" w14:textId="77777777" w:rsidR="00FB33FF" w:rsidRDefault="00FB33FF" w:rsidP="00075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eiryo">
    <w:panose1 w:val="020B0604030504040204"/>
    <w:charset w:val="80"/>
    <w:family w:val="swiss"/>
    <w:pitch w:val="variable"/>
    <w:sig w:usb0="E10102FF" w:usb1="EAC7FFFF" w:usb2="0001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023511403"/>
      <w:docPartObj>
        <w:docPartGallery w:val="Page Numbers (Bottom of Page)"/>
        <w:docPartUnique/>
      </w:docPartObj>
    </w:sdtPr>
    <w:sdtContent>
      <w:p w14:paraId="113F227C" w14:textId="20974C4F" w:rsidR="007E1D82" w:rsidRDefault="007E1D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A5CEBD" w14:textId="77777777" w:rsidR="007E1D82" w:rsidRDefault="007E1D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CCB04" w14:textId="77777777" w:rsidR="00FB33FF" w:rsidRDefault="00FB33FF" w:rsidP="00075C61">
      <w:pPr>
        <w:spacing w:after="0" w:line="240" w:lineRule="auto"/>
      </w:pPr>
      <w:r>
        <w:separator/>
      </w:r>
    </w:p>
  </w:footnote>
  <w:footnote w:type="continuationSeparator" w:id="0">
    <w:p w14:paraId="1F982BAD" w14:textId="77777777" w:rsidR="00FB33FF" w:rsidRDefault="00FB33FF" w:rsidP="00075C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E832B" w14:textId="41834FD0" w:rsidR="007E1D82" w:rsidRDefault="007E1D82">
    <w:pPr>
      <w:pStyle w:val="Header"/>
    </w:pPr>
    <w:r>
      <w:t>Yehia A.-</w:t>
    </w:r>
    <w:proofErr w:type="spellStart"/>
    <w:proofErr w:type="gramStart"/>
    <w:r>
      <w:t>G.Mahmoud</w:t>
    </w:r>
    <w:proofErr w:type="spellEnd"/>
    <w:proofErr w:type="gramEnd"/>
  </w:p>
  <w:p w14:paraId="2B155EFF" w14:textId="77777777" w:rsidR="007E1D82" w:rsidRDefault="007E1D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F7D15"/>
    <w:multiLevelType w:val="multilevel"/>
    <w:tmpl w:val="B41AC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A73A8"/>
    <w:multiLevelType w:val="multilevel"/>
    <w:tmpl w:val="8358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144DF"/>
    <w:multiLevelType w:val="multilevel"/>
    <w:tmpl w:val="E5B8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EC5B19"/>
    <w:multiLevelType w:val="multilevel"/>
    <w:tmpl w:val="4AB0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3A52CB"/>
    <w:multiLevelType w:val="multilevel"/>
    <w:tmpl w:val="070A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9A12F6"/>
    <w:multiLevelType w:val="multilevel"/>
    <w:tmpl w:val="3AC4C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7D1A49"/>
    <w:multiLevelType w:val="multilevel"/>
    <w:tmpl w:val="32148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376D6B"/>
    <w:multiLevelType w:val="multilevel"/>
    <w:tmpl w:val="C3F29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1C58CD"/>
    <w:multiLevelType w:val="multilevel"/>
    <w:tmpl w:val="E3F24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846543"/>
    <w:multiLevelType w:val="multilevel"/>
    <w:tmpl w:val="F0FA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B30F7"/>
    <w:multiLevelType w:val="multilevel"/>
    <w:tmpl w:val="3E583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4B4089"/>
    <w:multiLevelType w:val="multilevel"/>
    <w:tmpl w:val="FDDC6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AD7926"/>
    <w:multiLevelType w:val="multilevel"/>
    <w:tmpl w:val="0854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534759"/>
    <w:multiLevelType w:val="multilevel"/>
    <w:tmpl w:val="ADBC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7D529D"/>
    <w:multiLevelType w:val="multilevel"/>
    <w:tmpl w:val="2EAE4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F67A1C"/>
    <w:multiLevelType w:val="multilevel"/>
    <w:tmpl w:val="A0C2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6026E4"/>
    <w:multiLevelType w:val="multilevel"/>
    <w:tmpl w:val="525E6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8E319E"/>
    <w:multiLevelType w:val="hybridMultilevel"/>
    <w:tmpl w:val="8A9E5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3A7C47"/>
    <w:multiLevelType w:val="multilevel"/>
    <w:tmpl w:val="2044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4C41A7"/>
    <w:multiLevelType w:val="multilevel"/>
    <w:tmpl w:val="B27E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52415E"/>
    <w:multiLevelType w:val="multilevel"/>
    <w:tmpl w:val="DC7E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EE0E9E"/>
    <w:multiLevelType w:val="multilevel"/>
    <w:tmpl w:val="DD96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8B34A6"/>
    <w:multiLevelType w:val="multilevel"/>
    <w:tmpl w:val="E5DE2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5E0236"/>
    <w:multiLevelType w:val="multilevel"/>
    <w:tmpl w:val="17487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C35427"/>
    <w:multiLevelType w:val="multilevel"/>
    <w:tmpl w:val="3D46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831D07"/>
    <w:multiLevelType w:val="multilevel"/>
    <w:tmpl w:val="9846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E43CFA"/>
    <w:multiLevelType w:val="multilevel"/>
    <w:tmpl w:val="EAD8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D57305"/>
    <w:multiLevelType w:val="multilevel"/>
    <w:tmpl w:val="8C3C5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0"/>
  </w:num>
  <w:num w:numId="3">
    <w:abstractNumId w:val="19"/>
  </w:num>
  <w:num w:numId="4">
    <w:abstractNumId w:val="27"/>
  </w:num>
  <w:num w:numId="5">
    <w:abstractNumId w:val="23"/>
  </w:num>
  <w:num w:numId="6">
    <w:abstractNumId w:val="21"/>
  </w:num>
  <w:num w:numId="7">
    <w:abstractNumId w:val="7"/>
  </w:num>
  <w:num w:numId="8">
    <w:abstractNumId w:val="25"/>
  </w:num>
  <w:num w:numId="9">
    <w:abstractNumId w:val="5"/>
  </w:num>
  <w:num w:numId="10">
    <w:abstractNumId w:val="11"/>
  </w:num>
  <w:num w:numId="11">
    <w:abstractNumId w:val="6"/>
  </w:num>
  <w:num w:numId="12">
    <w:abstractNumId w:val="3"/>
  </w:num>
  <w:num w:numId="13">
    <w:abstractNumId w:val="16"/>
  </w:num>
  <w:num w:numId="14">
    <w:abstractNumId w:val="24"/>
  </w:num>
  <w:num w:numId="15">
    <w:abstractNumId w:val="20"/>
  </w:num>
  <w:num w:numId="16">
    <w:abstractNumId w:val="13"/>
  </w:num>
  <w:num w:numId="17">
    <w:abstractNumId w:val="8"/>
  </w:num>
  <w:num w:numId="18">
    <w:abstractNumId w:val="9"/>
  </w:num>
  <w:num w:numId="19">
    <w:abstractNumId w:val="12"/>
  </w:num>
  <w:num w:numId="20">
    <w:abstractNumId w:val="26"/>
  </w:num>
  <w:num w:numId="21">
    <w:abstractNumId w:val="18"/>
  </w:num>
  <w:num w:numId="22">
    <w:abstractNumId w:val="10"/>
  </w:num>
  <w:num w:numId="23">
    <w:abstractNumId w:val="15"/>
  </w:num>
  <w:num w:numId="24">
    <w:abstractNumId w:val="1"/>
  </w:num>
  <w:num w:numId="25">
    <w:abstractNumId w:val="2"/>
  </w:num>
  <w:num w:numId="26">
    <w:abstractNumId w:val="4"/>
  </w:num>
  <w:num w:numId="27">
    <w:abstractNumId w:val="14"/>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755"/>
    <w:rsid w:val="00075C61"/>
    <w:rsid w:val="002B7F14"/>
    <w:rsid w:val="002C07D8"/>
    <w:rsid w:val="00333B4F"/>
    <w:rsid w:val="004007FE"/>
    <w:rsid w:val="00484255"/>
    <w:rsid w:val="00486144"/>
    <w:rsid w:val="004E35E6"/>
    <w:rsid w:val="0053129C"/>
    <w:rsid w:val="005C7872"/>
    <w:rsid w:val="007B03F6"/>
    <w:rsid w:val="007D2FB9"/>
    <w:rsid w:val="007E1D82"/>
    <w:rsid w:val="00977C89"/>
    <w:rsid w:val="00B426A9"/>
    <w:rsid w:val="00BC296A"/>
    <w:rsid w:val="00C86E40"/>
    <w:rsid w:val="00D628DC"/>
    <w:rsid w:val="00E86E91"/>
    <w:rsid w:val="00F40755"/>
    <w:rsid w:val="00FB33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EDDB6"/>
  <w15:chartTrackingRefBased/>
  <w15:docId w15:val="{70117C37-CDE6-4D2F-B4FA-E024CFE6A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5C78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C7872"/>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C7872"/>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C07D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C787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C787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C787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C7872"/>
    <w:rPr>
      <w:color w:val="0000FF"/>
      <w:u w:val="single"/>
    </w:rPr>
  </w:style>
  <w:style w:type="character" w:styleId="Strong">
    <w:name w:val="Strong"/>
    <w:basedOn w:val="DefaultParagraphFont"/>
    <w:uiPriority w:val="22"/>
    <w:qFormat/>
    <w:rsid w:val="005C7872"/>
    <w:rPr>
      <w:b/>
      <w:bCs/>
    </w:rPr>
  </w:style>
  <w:style w:type="character" w:styleId="Emphasis">
    <w:name w:val="Emphasis"/>
    <w:basedOn w:val="DefaultParagraphFont"/>
    <w:uiPriority w:val="20"/>
    <w:qFormat/>
    <w:rsid w:val="005C7872"/>
    <w:rPr>
      <w:i/>
      <w:iCs/>
    </w:rPr>
  </w:style>
  <w:style w:type="character" w:customStyle="1" w:styleId="Heading1Char">
    <w:name w:val="Heading 1 Char"/>
    <w:basedOn w:val="DefaultParagraphFont"/>
    <w:link w:val="Heading1"/>
    <w:uiPriority w:val="9"/>
    <w:rsid w:val="005C787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075C61"/>
    <w:pPr>
      <w:tabs>
        <w:tab w:val="center" w:pos="4153"/>
        <w:tab w:val="right" w:pos="8306"/>
      </w:tabs>
      <w:spacing w:after="0" w:line="240" w:lineRule="auto"/>
    </w:pPr>
  </w:style>
  <w:style w:type="character" w:customStyle="1" w:styleId="HeaderChar">
    <w:name w:val="Header Char"/>
    <w:basedOn w:val="DefaultParagraphFont"/>
    <w:link w:val="Header"/>
    <w:uiPriority w:val="99"/>
    <w:rsid w:val="00075C61"/>
  </w:style>
  <w:style w:type="paragraph" w:styleId="Footer">
    <w:name w:val="footer"/>
    <w:basedOn w:val="Normal"/>
    <w:link w:val="FooterChar"/>
    <w:uiPriority w:val="99"/>
    <w:unhideWhenUsed/>
    <w:rsid w:val="00075C61"/>
    <w:pPr>
      <w:tabs>
        <w:tab w:val="center" w:pos="4153"/>
        <w:tab w:val="right" w:pos="8306"/>
      </w:tabs>
      <w:spacing w:after="0" w:line="240" w:lineRule="auto"/>
    </w:pPr>
  </w:style>
  <w:style w:type="character" w:customStyle="1" w:styleId="FooterChar">
    <w:name w:val="Footer Char"/>
    <w:basedOn w:val="DefaultParagraphFont"/>
    <w:link w:val="Footer"/>
    <w:uiPriority w:val="99"/>
    <w:rsid w:val="00075C61"/>
  </w:style>
  <w:style w:type="character" w:customStyle="1" w:styleId="Heading4Char">
    <w:name w:val="Heading 4 Char"/>
    <w:basedOn w:val="DefaultParagraphFont"/>
    <w:link w:val="Heading4"/>
    <w:uiPriority w:val="9"/>
    <w:semiHidden/>
    <w:rsid w:val="002C07D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475172">
      <w:bodyDiv w:val="1"/>
      <w:marLeft w:val="0"/>
      <w:marRight w:val="0"/>
      <w:marTop w:val="0"/>
      <w:marBottom w:val="0"/>
      <w:divBdr>
        <w:top w:val="none" w:sz="0" w:space="0" w:color="auto"/>
        <w:left w:val="none" w:sz="0" w:space="0" w:color="auto"/>
        <w:bottom w:val="none" w:sz="0" w:space="0" w:color="auto"/>
        <w:right w:val="none" w:sz="0" w:space="0" w:color="auto"/>
      </w:divBdr>
      <w:divsChild>
        <w:div w:id="132143539">
          <w:marLeft w:val="0"/>
          <w:marRight w:val="0"/>
          <w:marTop w:val="0"/>
          <w:marBottom w:val="0"/>
          <w:divBdr>
            <w:top w:val="none" w:sz="0" w:space="0" w:color="auto"/>
            <w:left w:val="none" w:sz="0" w:space="0" w:color="auto"/>
            <w:bottom w:val="none" w:sz="0" w:space="0" w:color="auto"/>
            <w:right w:val="none" w:sz="0" w:space="0" w:color="auto"/>
          </w:divBdr>
        </w:div>
        <w:div w:id="100805045">
          <w:marLeft w:val="0"/>
          <w:marRight w:val="0"/>
          <w:marTop w:val="0"/>
          <w:marBottom w:val="0"/>
          <w:divBdr>
            <w:top w:val="none" w:sz="0" w:space="0" w:color="auto"/>
            <w:left w:val="none" w:sz="0" w:space="0" w:color="auto"/>
            <w:bottom w:val="none" w:sz="0" w:space="0" w:color="auto"/>
            <w:right w:val="none" w:sz="0" w:space="0" w:color="auto"/>
          </w:divBdr>
        </w:div>
      </w:divsChild>
    </w:div>
    <w:div w:id="430392303">
      <w:bodyDiv w:val="1"/>
      <w:marLeft w:val="0"/>
      <w:marRight w:val="0"/>
      <w:marTop w:val="0"/>
      <w:marBottom w:val="0"/>
      <w:divBdr>
        <w:top w:val="none" w:sz="0" w:space="0" w:color="auto"/>
        <w:left w:val="none" w:sz="0" w:space="0" w:color="auto"/>
        <w:bottom w:val="none" w:sz="0" w:space="0" w:color="auto"/>
        <w:right w:val="none" w:sz="0" w:space="0" w:color="auto"/>
      </w:divBdr>
    </w:div>
    <w:div w:id="1619945483">
      <w:bodyDiv w:val="1"/>
      <w:marLeft w:val="0"/>
      <w:marRight w:val="0"/>
      <w:marTop w:val="0"/>
      <w:marBottom w:val="0"/>
      <w:divBdr>
        <w:top w:val="none" w:sz="0" w:space="0" w:color="auto"/>
        <w:left w:val="none" w:sz="0" w:space="0" w:color="auto"/>
        <w:bottom w:val="none" w:sz="0" w:space="0" w:color="auto"/>
        <w:right w:val="none" w:sz="0" w:space="0" w:color="auto"/>
      </w:divBdr>
      <w:divsChild>
        <w:div w:id="103697727">
          <w:marLeft w:val="0"/>
          <w:marRight w:val="0"/>
          <w:marTop w:val="0"/>
          <w:marBottom w:val="150"/>
          <w:divBdr>
            <w:top w:val="none" w:sz="0" w:space="0" w:color="auto"/>
            <w:left w:val="none" w:sz="0" w:space="0" w:color="auto"/>
            <w:bottom w:val="single" w:sz="6" w:space="4" w:color="00ACFF"/>
            <w:right w:val="none" w:sz="0" w:space="0" w:color="auto"/>
          </w:divBdr>
        </w:div>
        <w:div w:id="107504785">
          <w:marLeft w:val="225"/>
          <w:marRight w:val="0"/>
          <w:marTop w:val="0"/>
          <w:marBottom w:val="0"/>
          <w:divBdr>
            <w:top w:val="single" w:sz="12" w:space="10" w:color="F9CAA1"/>
            <w:left w:val="single" w:sz="12" w:space="10" w:color="F9CAA1"/>
            <w:bottom w:val="single" w:sz="12" w:space="10" w:color="F9CAA1"/>
            <w:right w:val="single" w:sz="12" w:space="10" w:color="F9CAA1"/>
          </w:divBdr>
        </w:div>
        <w:div w:id="1105879437">
          <w:marLeft w:val="0"/>
          <w:marRight w:val="0"/>
          <w:marTop w:val="0"/>
          <w:marBottom w:val="150"/>
          <w:divBdr>
            <w:top w:val="none" w:sz="0" w:space="0" w:color="auto"/>
            <w:left w:val="none" w:sz="0" w:space="0" w:color="auto"/>
            <w:bottom w:val="dotted" w:sz="6" w:space="4" w:color="00ACFF"/>
            <w:right w:val="none" w:sz="0" w:space="0" w:color="auto"/>
          </w:divBdr>
        </w:div>
        <w:div w:id="2072313897">
          <w:marLeft w:val="0"/>
          <w:marRight w:val="0"/>
          <w:marTop w:val="0"/>
          <w:marBottom w:val="150"/>
          <w:divBdr>
            <w:top w:val="none" w:sz="0" w:space="0" w:color="auto"/>
            <w:left w:val="none" w:sz="0" w:space="0" w:color="auto"/>
            <w:bottom w:val="dotted" w:sz="6" w:space="4" w:color="00ACFF"/>
            <w:right w:val="none" w:sz="0" w:space="0" w:color="auto"/>
          </w:divBdr>
        </w:div>
        <w:div w:id="1048721353">
          <w:marLeft w:val="0"/>
          <w:marRight w:val="0"/>
          <w:marTop w:val="0"/>
          <w:marBottom w:val="150"/>
          <w:divBdr>
            <w:top w:val="none" w:sz="0" w:space="0" w:color="auto"/>
            <w:left w:val="none" w:sz="0" w:space="0" w:color="auto"/>
            <w:bottom w:val="dotted" w:sz="6" w:space="4" w:color="00ACFF"/>
            <w:right w:val="none" w:sz="0" w:space="0" w:color="auto"/>
          </w:divBdr>
        </w:div>
        <w:div w:id="1165710803">
          <w:marLeft w:val="0"/>
          <w:marRight w:val="0"/>
          <w:marTop w:val="0"/>
          <w:marBottom w:val="150"/>
          <w:divBdr>
            <w:top w:val="none" w:sz="0" w:space="0" w:color="auto"/>
            <w:left w:val="none" w:sz="0" w:space="0" w:color="auto"/>
            <w:bottom w:val="dotted" w:sz="6" w:space="4" w:color="00ACFF"/>
            <w:right w:val="none" w:sz="0" w:space="0" w:color="auto"/>
          </w:divBdr>
        </w:div>
        <w:div w:id="639771064">
          <w:marLeft w:val="0"/>
          <w:marRight w:val="0"/>
          <w:marTop w:val="0"/>
          <w:marBottom w:val="150"/>
          <w:divBdr>
            <w:top w:val="none" w:sz="0" w:space="0" w:color="auto"/>
            <w:left w:val="none" w:sz="0" w:space="0" w:color="auto"/>
            <w:bottom w:val="dotted" w:sz="6" w:space="4" w:color="00ACFF"/>
            <w:right w:val="none" w:sz="0" w:space="0" w:color="auto"/>
          </w:divBdr>
        </w:div>
        <w:div w:id="653073759">
          <w:marLeft w:val="0"/>
          <w:marRight w:val="0"/>
          <w:marTop w:val="0"/>
          <w:marBottom w:val="150"/>
          <w:divBdr>
            <w:top w:val="none" w:sz="0" w:space="0" w:color="auto"/>
            <w:left w:val="none" w:sz="0" w:space="0" w:color="auto"/>
            <w:bottom w:val="single" w:sz="6" w:space="4" w:color="00ACFF"/>
            <w:right w:val="none" w:sz="0" w:space="0" w:color="auto"/>
          </w:divBdr>
        </w:div>
        <w:div w:id="1472484748">
          <w:marLeft w:val="150"/>
          <w:marRight w:val="0"/>
          <w:marTop w:val="0"/>
          <w:marBottom w:val="225"/>
          <w:divBdr>
            <w:top w:val="single" w:sz="6" w:space="5" w:color="00ACFF"/>
            <w:left w:val="single" w:sz="6" w:space="8" w:color="00ACFF"/>
            <w:bottom w:val="single" w:sz="6" w:space="5" w:color="00ACFF"/>
            <w:right w:val="single" w:sz="6" w:space="11" w:color="00ACFF"/>
          </w:divBdr>
        </w:div>
        <w:div w:id="1410076752">
          <w:marLeft w:val="150"/>
          <w:marRight w:val="0"/>
          <w:marTop w:val="0"/>
          <w:marBottom w:val="225"/>
          <w:divBdr>
            <w:top w:val="single" w:sz="6" w:space="5" w:color="00ACFF"/>
            <w:left w:val="single" w:sz="6" w:space="8" w:color="00ACFF"/>
            <w:bottom w:val="single" w:sz="6" w:space="5" w:color="00ACFF"/>
            <w:right w:val="single" w:sz="6" w:space="11" w:color="00ACFF"/>
          </w:divBdr>
        </w:div>
      </w:divsChild>
    </w:div>
    <w:div w:id="1681662262">
      <w:bodyDiv w:val="1"/>
      <w:marLeft w:val="0"/>
      <w:marRight w:val="0"/>
      <w:marTop w:val="0"/>
      <w:marBottom w:val="0"/>
      <w:divBdr>
        <w:top w:val="none" w:sz="0" w:space="0" w:color="auto"/>
        <w:left w:val="none" w:sz="0" w:space="0" w:color="auto"/>
        <w:bottom w:val="none" w:sz="0" w:space="0" w:color="auto"/>
        <w:right w:val="none" w:sz="0" w:space="0" w:color="auto"/>
      </w:divBdr>
    </w:div>
    <w:div w:id="1758556474">
      <w:bodyDiv w:val="1"/>
      <w:marLeft w:val="0"/>
      <w:marRight w:val="0"/>
      <w:marTop w:val="0"/>
      <w:marBottom w:val="0"/>
      <w:divBdr>
        <w:top w:val="none" w:sz="0" w:space="0" w:color="auto"/>
        <w:left w:val="none" w:sz="0" w:space="0" w:color="auto"/>
        <w:bottom w:val="none" w:sz="0" w:space="0" w:color="auto"/>
        <w:right w:val="none" w:sz="0" w:space="0" w:color="auto"/>
      </w:divBdr>
      <w:divsChild>
        <w:div w:id="1588222625">
          <w:marLeft w:val="0"/>
          <w:marRight w:val="0"/>
          <w:marTop w:val="0"/>
          <w:marBottom w:val="0"/>
          <w:divBdr>
            <w:top w:val="none" w:sz="0" w:space="0" w:color="auto"/>
            <w:left w:val="none" w:sz="0" w:space="0" w:color="auto"/>
            <w:bottom w:val="none" w:sz="0" w:space="0" w:color="auto"/>
            <w:right w:val="none" w:sz="0" w:space="0" w:color="auto"/>
          </w:divBdr>
          <w:divsChild>
            <w:div w:id="1244341667">
              <w:marLeft w:val="0"/>
              <w:marRight w:val="0"/>
              <w:marTop w:val="165"/>
              <w:marBottom w:val="165"/>
              <w:divBdr>
                <w:top w:val="none" w:sz="0" w:space="0" w:color="auto"/>
                <w:left w:val="none" w:sz="0" w:space="0" w:color="auto"/>
                <w:bottom w:val="none" w:sz="0" w:space="0" w:color="auto"/>
                <w:right w:val="none" w:sz="0" w:space="0" w:color="auto"/>
              </w:divBdr>
            </w:div>
          </w:divsChild>
        </w:div>
        <w:div w:id="2052876651">
          <w:marLeft w:val="0"/>
          <w:marRight w:val="0"/>
          <w:marTop w:val="0"/>
          <w:marBottom w:val="0"/>
          <w:divBdr>
            <w:top w:val="none" w:sz="0" w:space="0" w:color="auto"/>
            <w:left w:val="none" w:sz="0" w:space="0" w:color="auto"/>
            <w:bottom w:val="none" w:sz="0" w:space="0" w:color="auto"/>
            <w:right w:val="none" w:sz="0" w:space="0" w:color="auto"/>
          </w:divBdr>
        </w:div>
        <w:div w:id="605188923">
          <w:marLeft w:val="0"/>
          <w:marRight w:val="0"/>
          <w:marTop w:val="0"/>
          <w:marBottom w:val="150"/>
          <w:divBdr>
            <w:top w:val="none" w:sz="0" w:space="0" w:color="auto"/>
            <w:left w:val="none" w:sz="0" w:space="0" w:color="auto"/>
            <w:bottom w:val="none" w:sz="0" w:space="0" w:color="auto"/>
            <w:right w:val="none" w:sz="0" w:space="0" w:color="auto"/>
          </w:divBdr>
          <w:divsChild>
            <w:div w:id="267350794">
              <w:marLeft w:val="0"/>
              <w:marRight w:val="106"/>
              <w:marTop w:val="0"/>
              <w:marBottom w:val="0"/>
              <w:divBdr>
                <w:top w:val="none" w:sz="0" w:space="0" w:color="auto"/>
                <w:left w:val="none" w:sz="0" w:space="0" w:color="auto"/>
                <w:bottom w:val="none" w:sz="0" w:space="0" w:color="auto"/>
                <w:right w:val="none" w:sz="0" w:space="0" w:color="auto"/>
              </w:divBdr>
              <w:divsChild>
                <w:div w:id="1056929737">
                  <w:marLeft w:val="0"/>
                  <w:marRight w:val="0"/>
                  <w:marTop w:val="0"/>
                  <w:marBottom w:val="0"/>
                  <w:divBdr>
                    <w:top w:val="none" w:sz="0" w:space="0" w:color="auto"/>
                    <w:left w:val="none" w:sz="0" w:space="0" w:color="auto"/>
                    <w:bottom w:val="none" w:sz="0" w:space="0" w:color="auto"/>
                    <w:right w:val="none" w:sz="0" w:space="0" w:color="auto"/>
                  </w:divBdr>
                  <w:divsChild>
                    <w:div w:id="166216223">
                      <w:marLeft w:val="0"/>
                      <w:marRight w:val="0"/>
                      <w:marTop w:val="0"/>
                      <w:marBottom w:val="300"/>
                      <w:divBdr>
                        <w:top w:val="single" w:sz="6" w:space="7" w:color="FFFFFF"/>
                        <w:left w:val="single" w:sz="6" w:space="7" w:color="FFFFFF"/>
                        <w:bottom w:val="single" w:sz="6" w:space="7" w:color="FFFFFF"/>
                        <w:right w:val="single" w:sz="6" w:space="7" w:color="FFFFFF"/>
                      </w:divBdr>
                      <w:divsChild>
                        <w:div w:id="1152717298">
                          <w:marLeft w:val="0"/>
                          <w:marRight w:val="0"/>
                          <w:marTop w:val="0"/>
                          <w:marBottom w:val="0"/>
                          <w:divBdr>
                            <w:top w:val="none" w:sz="0" w:space="0" w:color="auto"/>
                            <w:left w:val="none" w:sz="0" w:space="0" w:color="auto"/>
                            <w:bottom w:val="none" w:sz="0" w:space="0" w:color="auto"/>
                            <w:right w:val="none" w:sz="0" w:space="0" w:color="auto"/>
                          </w:divBdr>
                          <w:divsChild>
                            <w:div w:id="198299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640328">
              <w:marLeft w:val="106"/>
              <w:marRight w:val="0"/>
              <w:marTop w:val="0"/>
              <w:marBottom w:val="0"/>
              <w:divBdr>
                <w:top w:val="none" w:sz="0" w:space="0" w:color="auto"/>
                <w:left w:val="none" w:sz="0" w:space="0" w:color="auto"/>
                <w:bottom w:val="none" w:sz="0" w:space="0" w:color="auto"/>
                <w:right w:val="none" w:sz="0" w:space="0" w:color="auto"/>
              </w:divBdr>
              <w:divsChild>
                <w:div w:id="908227908">
                  <w:marLeft w:val="0"/>
                  <w:marRight w:val="0"/>
                  <w:marTop w:val="0"/>
                  <w:marBottom w:val="0"/>
                  <w:divBdr>
                    <w:top w:val="none" w:sz="0" w:space="0" w:color="auto"/>
                    <w:left w:val="none" w:sz="0" w:space="0" w:color="auto"/>
                    <w:bottom w:val="none" w:sz="0" w:space="0" w:color="auto"/>
                    <w:right w:val="none" w:sz="0" w:space="0" w:color="auto"/>
                  </w:divBdr>
                  <w:divsChild>
                    <w:div w:id="830684195">
                      <w:marLeft w:val="0"/>
                      <w:marRight w:val="0"/>
                      <w:marTop w:val="0"/>
                      <w:marBottom w:val="300"/>
                      <w:divBdr>
                        <w:top w:val="single" w:sz="6" w:space="7" w:color="FFFFFF"/>
                        <w:left w:val="single" w:sz="6" w:space="7" w:color="FFFFFF"/>
                        <w:bottom w:val="single" w:sz="6" w:space="7" w:color="FFFFFF"/>
                        <w:right w:val="single" w:sz="6" w:space="7" w:color="FFFFFF"/>
                      </w:divBdr>
                      <w:divsChild>
                        <w:div w:id="341014271">
                          <w:marLeft w:val="0"/>
                          <w:marRight w:val="0"/>
                          <w:marTop w:val="0"/>
                          <w:marBottom w:val="0"/>
                          <w:divBdr>
                            <w:top w:val="none" w:sz="0" w:space="0" w:color="auto"/>
                            <w:left w:val="none" w:sz="0" w:space="0" w:color="auto"/>
                            <w:bottom w:val="none" w:sz="0" w:space="0" w:color="auto"/>
                            <w:right w:val="none" w:sz="0" w:space="0" w:color="auto"/>
                          </w:divBdr>
                          <w:divsChild>
                            <w:div w:id="21701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339217">
          <w:marLeft w:val="0"/>
          <w:marRight w:val="0"/>
          <w:marTop w:val="0"/>
          <w:marBottom w:val="0"/>
          <w:divBdr>
            <w:top w:val="none" w:sz="0" w:space="0" w:color="auto"/>
            <w:left w:val="none" w:sz="0" w:space="0" w:color="auto"/>
            <w:bottom w:val="none" w:sz="0" w:space="0" w:color="auto"/>
            <w:right w:val="none" w:sz="0" w:space="0" w:color="auto"/>
          </w:divBdr>
        </w:div>
        <w:div w:id="634987548">
          <w:marLeft w:val="0"/>
          <w:marRight w:val="0"/>
          <w:marTop w:val="0"/>
          <w:marBottom w:val="0"/>
          <w:divBdr>
            <w:top w:val="none" w:sz="0" w:space="0" w:color="auto"/>
            <w:left w:val="none" w:sz="0" w:space="0" w:color="auto"/>
            <w:bottom w:val="none" w:sz="0" w:space="0" w:color="auto"/>
            <w:right w:val="none" w:sz="0" w:space="0" w:color="auto"/>
          </w:divBdr>
        </w:div>
        <w:div w:id="1420829943">
          <w:marLeft w:val="0"/>
          <w:marRight w:val="0"/>
          <w:marTop w:val="0"/>
          <w:marBottom w:val="300"/>
          <w:divBdr>
            <w:top w:val="none" w:sz="0" w:space="0" w:color="auto"/>
            <w:left w:val="none" w:sz="0" w:space="0" w:color="auto"/>
            <w:bottom w:val="none" w:sz="0" w:space="0" w:color="auto"/>
            <w:right w:val="none" w:sz="0" w:space="0" w:color="auto"/>
          </w:divBdr>
          <w:divsChild>
            <w:div w:id="241187022">
              <w:marLeft w:val="0"/>
              <w:marRight w:val="0"/>
              <w:marTop w:val="0"/>
              <w:marBottom w:val="0"/>
              <w:divBdr>
                <w:top w:val="none" w:sz="0" w:space="0" w:color="auto"/>
                <w:left w:val="none" w:sz="0" w:space="0" w:color="auto"/>
                <w:bottom w:val="none" w:sz="0" w:space="0" w:color="auto"/>
                <w:right w:val="none" w:sz="0" w:space="0" w:color="auto"/>
              </w:divBdr>
              <w:divsChild>
                <w:div w:id="1186211466">
                  <w:marLeft w:val="0"/>
                  <w:marRight w:val="0"/>
                  <w:marTop w:val="0"/>
                  <w:marBottom w:val="0"/>
                  <w:divBdr>
                    <w:top w:val="none" w:sz="0" w:space="0" w:color="auto"/>
                    <w:left w:val="none" w:sz="0" w:space="0" w:color="auto"/>
                    <w:bottom w:val="none" w:sz="0" w:space="0" w:color="auto"/>
                    <w:right w:val="none" w:sz="0" w:space="0" w:color="auto"/>
                  </w:divBdr>
                  <w:divsChild>
                    <w:div w:id="1374379764">
                      <w:marLeft w:val="0"/>
                      <w:marRight w:val="103"/>
                      <w:marTop w:val="0"/>
                      <w:marBottom w:val="0"/>
                      <w:divBdr>
                        <w:top w:val="none" w:sz="0" w:space="0" w:color="auto"/>
                        <w:left w:val="none" w:sz="0" w:space="0" w:color="auto"/>
                        <w:bottom w:val="none" w:sz="0" w:space="0" w:color="auto"/>
                        <w:right w:val="none" w:sz="0" w:space="0" w:color="auto"/>
                      </w:divBdr>
                      <w:divsChild>
                        <w:div w:id="1906796994">
                          <w:marLeft w:val="0"/>
                          <w:marRight w:val="0"/>
                          <w:marTop w:val="0"/>
                          <w:marBottom w:val="0"/>
                          <w:divBdr>
                            <w:top w:val="none" w:sz="0" w:space="0" w:color="auto"/>
                            <w:left w:val="none" w:sz="0" w:space="0" w:color="auto"/>
                            <w:bottom w:val="none" w:sz="0" w:space="0" w:color="auto"/>
                            <w:right w:val="none" w:sz="0" w:space="0" w:color="auto"/>
                          </w:divBdr>
                          <w:divsChild>
                            <w:div w:id="37003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53071">
                      <w:marLeft w:val="103"/>
                      <w:marRight w:val="0"/>
                      <w:marTop w:val="0"/>
                      <w:marBottom w:val="0"/>
                      <w:divBdr>
                        <w:top w:val="none" w:sz="0" w:space="0" w:color="auto"/>
                        <w:left w:val="none" w:sz="0" w:space="0" w:color="auto"/>
                        <w:bottom w:val="none" w:sz="0" w:space="0" w:color="auto"/>
                        <w:right w:val="none" w:sz="0" w:space="0" w:color="auto"/>
                      </w:divBdr>
                      <w:divsChild>
                        <w:div w:id="768549874">
                          <w:marLeft w:val="0"/>
                          <w:marRight w:val="0"/>
                          <w:marTop w:val="0"/>
                          <w:marBottom w:val="0"/>
                          <w:divBdr>
                            <w:top w:val="none" w:sz="0" w:space="0" w:color="auto"/>
                            <w:left w:val="none" w:sz="0" w:space="0" w:color="auto"/>
                            <w:bottom w:val="none" w:sz="0" w:space="0" w:color="auto"/>
                            <w:right w:val="none" w:sz="0" w:space="0" w:color="auto"/>
                          </w:divBdr>
                          <w:divsChild>
                            <w:div w:id="105755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731471">
          <w:marLeft w:val="0"/>
          <w:marRight w:val="0"/>
          <w:marTop w:val="0"/>
          <w:marBottom w:val="300"/>
          <w:divBdr>
            <w:top w:val="none" w:sz="0" w:space="0" w:color="auto"/>
            <w:left w:val="none" w:sz="0" w:space="0" w:color="auto"/>
            <w:bottom w:val="none" w:sz="0" w:space="0" w:color="auto"/>
            <w:right w:val="none" w:sz="0" w:space="0" w:color="auto"/>
          </w:divBdr>
          <w:divsChild>
            <w:div w:id="1804999924">
              <w:marLeft w:val="0"/>
              <w:marRight w:val="0"/>
              <w:marTop w:val="0"/>
              <w:marBottom w:val="0"/>
              <w:divBdr>
                <w:top w:val="none" w:sz="0" w:space="0" w:color="auto"/>
                <w:left w:val="none" w:sz="0" w:space="0" w:color="auto"/>
                <w:bottom w:val="none" w:sz="0" w:space="0" w:color="auto"/>
                <w:right w:val="none" w:sz="0" w:space="0" w:color="auto"/>
              </w:divBdr>
              <w:divsChild>
                <w:div w:id="1970549419">
                  <w:marLeft w:val="0"/>
                  <w:marRight w:val="0"/>
                  <w:marTop w:val="0"/>
                  <w:marBottom w:val="0"/>
                  <w:divBdr>
                    <w:top w:val="none" w:sz="0" w:space="0" w:color="auto"/>
                    <w:left w:val="none" w:sz="0" w:space="0" w:color="auto"/>
                    <w:bottom w:val="none" w:sz="0" w:space="0" w:color="auto"/>
                    <w:right w:val="none" w:sz="0" w:space="0" w:color="auto"/>
                  </w:divBdr>
                  <w:divsChild>
                    <w:div w:id="884682906">
                      <w:marLeft w:val="0"/>
                      <w:marRight w:val="0"/>
                      <w:marTop w:val="0"/>
                      <w:marBottom w:val="0"/>
                      <w:divBdr>
                        <w:top w:val="none" w:sz="0" w:space="0" w:color="auto"/>
                        <w:left w:val="none" w:sz="0" w:space="0" w:color="auto"/>
                        <w:bottom w:val="none" w:sz="0" w:space="0" w:color="auto"/>
                        <w:right w:val="none" w:sz="0" w:space="0" w:color="auto"/>
                      </w:divBdr>
                      <w:divsChild>
                        <w:div w:id="155537578">
                          <w:marLeft w:val="0"/>
                          <w:marRight w:val="0"/>
                          <w:marTop w:val="0"/>
                          <w:marBottom w:val="0"/>
                          <w:divBdr>
                            <w:top w:val="none" w:sz="0" w:space="0" w:color="auto"/>
                            <w:left w:val="none" w:sz="0" w:space="0" w:color="auto"/>
                            <w:bottom w:val="none" w:sz="0" w:space="0" w:color="auto"/>
                            <w:right w:val="none" w:sz="0" w:space="0" w:color="auto"/>
                          </w:divBdr>
                          <w:divsChild>
                            <w:div w:id="4657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829">
                      <w:marLeft w:val="109"/>
                      <w:marRight w:val="0"/>
                      <w:marTop w:val="0"/>
                      <w:marBottom w:val="0"/>
                      <w:divBdr>
                        <w:top w:val="none" w:sz="0" w:space="0" w:color="auto"/>
                        <w:left w:val="none" w:sz="0" w:space="0" w:color="auto"/>
                        <w:bottom w:val="none" w:sz="0" w:space="0" w:color="auto"/>
                        <w:right w:val="none" w:sz="0" w:space="0" w:color="auto"/>
                      </w:divBdr>
                      <w:divsChild>
                        <w:div w:id="1650598966">
                          <w:marLeft w:val="0"/>
                          <w:marRight w:val="0"/>
                          <w:marTop w:val="0"/>
                          <w:marBottom w:val="0"/>
                          <w:divBdr>
                            <w:top w:val="none" w:sz="0" w:space="0" w:color="auto"/>
                            <w:left w:val="none" w:sz="0" w:space="0" w:color="auto"/>
                            <w:bottom w:val="none" w:sz="0" w:space="0" w:color="auto"/>
                            <w:right w:val="none" w:sz="0" w:space="0" w:color="auto"/>
                          </w:divBdr>
                          <w:divsChild>
                            <w:div w:id="102262320">
                              <w:marLeft w:val="0"/>
                              <w:marRight w:val="0"/>
                              <w:marTop w:val="0"/>
                              <w:marBottom w:val="300"/>
                              <w:divBdr>
                                <w:top w:val="none" w:sz="0" w:space="0" w:color="auto"/>
                                <w:left w:val="none" w:sz="0" w:space="0" w:color="auto"/>
                                <w:bottom w:val="none" w:sz="0" w:space="0" w:color="auto"/>
                                <w:right w:val="none" w:sz="0" w:space="0" w:color="auto"/>
                              </w:divBdr>
                              <w:divsChild>
                                <w:div w:id="75721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205541">
          <w:marLeft w:val="0"/>
          <w:marRight w:val="0"/>
          <w:marTop w:val="0"/>
          <w:marBottom w:val="0"/>
          <w:divBdr>
            <w:top w:val="none" w:sz="0" w:space="0" w:color="auto"/>
            <w:left w:val="none" w:sz="0" w:space="0" w:color="auto"/>
            <w:bottom w:val="none" w:sz="0" w:space="0" w:color="auto"/>
            <w:right w:val="none" w:sz="0" w:space="0" w:color="auto"/>
          </w:divBdr>
        </w:div>
        <w:div w:id="478155730">
          <w:marLeft w:val="0"/>
          <w:marRight w:val="0"/>
          <w:marTop w:val="0"/>
          <w:marBottom w:val="0"/>
          <w:divBdr>
            <w:top w:val="none" w:sz="0" w:space="0" w:color="auto"/>
            <w:left w:val="none" w:sz="0" w:space="0" w:color="auto"/>
            <w:bottom w:val="none" w:sz="0" w:space="0" w:color="auto"/>
            <w:right w:val="none" w:sz="0" w:space="0" w:color="auto"/>
          </w:divBdr>
        </w:div>
        <w:div w:id="2143887461">
          <w:marLeft w:val="0"/>
          <w:marRight w:val="0"/>
          <w:marTop w:val="0"/>
          <w:marBottom w:val="0"/>
          <w:divBdr>
            <w:top w:val="none" w:sz="0" w:space="0" w:color="auto"/>
            <w:left w:val="none" w:sz="0" w:space="0" w:color="auto"/>
            <w:bottom w:val="none" w:sz="0" w:space="0" w:color="auto"/>
            <w:right w:val="none" w:sz="0" w:space="0" w:color="auto"/>
          </w:divBdr>
        </w:div>
        <w:div w:id="1441683651">
          <w:marLeft w:val="0"/>
          <w:marRight w:val="0"/>
          <w:marTop w:val="0"/>
          <w:marBottom w:val="0"/>
          <w:divBdr>
            <w:top w:val="none" w:sz="0" w:space="0" w:color="auto"/>
            <w:left w:val="none" w:sz="0" w:space="0" w:color="auto"/>
            <w:bottom w:val="none" w:sz="0" w:space="0" w:color="auto"/>
            <w:right w:val="none" w:sz="0" w:space="0" w:color="auto"/>
          </w:divBdr>
        </w:div>
        <w:div w:id="1493719629">
          <w:marLeft w:val="0"/>
          <w:marRight w:val="0"/>
          <w:marTop w:val="0"/>
          <w:marBottom w:val="0"/>
          <w:divBdr>
            <w:top w:val="none" w:sz="0" w:space="0" w:color="auto"/>
            <w:left w:val="none" w:sz="0" w:space="0" w:color="auto"/>
            <w:bottom w:val="none" w:sz="0" w:space="0" w:color="auto"/>
            <w:right w:val="none" w:sz="0" w:space="0" w:color="auto"/>
          </w:divBdr>
        </w:div>
        <w:div w:id="1861965034">
          <w:marLeft w:val="0"/>
          <w:marRight w:val="0"/>
          <w:marTop w:val="0"/>
          <w:marBottom w:val="0"/>
          <w:divBdr>
            <w:top w:val="none" w:sz="0" w:space="0" w:color="auto"/>
            <w:left w:val="none" w:sz="0" w:space="0" w:color="auto"/>
            <w:bottom w:val="none" w:sz="0" w:space="0" w:color="auto"/>
            <w:right w:val="none" w:sz="0" w:space="0" w:color="auto"/>
          </w:divBdr>
        </w:div>
        <w:div w:id="705451921">
          <w:marLeft w:val="0"/>
          <w:marRight w:val="0"/>
          <w:marTop w:val="0"/>
          <w:marBottom w:val="0"/>
          <w:divBdr>
            <w:top w:val="none" w:sz="0" w:space="0" w:color="auto"/>
            <w:left w:val="none" w:sz="0" w:space="0" w:color="auto"/>
            <w:bottom w:val="none" w:sz="0" w:space="0" w:color="auto"/>
            <w:right w:val="none" w:sz="0" w:space="0" w:color="auto"/>
          </w:divBdr>
        </w:div>
        <w:div w:id="1790198396">
          <w:marLeft w:val="0"/>
          <w:marRight w:val="0"/>
          <w:marTop w:val="0"/>
          <w:marBottom w:val="0"/>
          <w:divBdr>
            <w:top w:val="none" w:sz="0" w:space="0" w:color="auto"/>
            <w:left w:val="none" w:sz="0" w:space="0" w:color="auto"/>
            <w:bottom w:val="none" w:sz="0" w:space="0" w:color="auto"/>
            <w:right w:val="none" w:sz="0" w:space="0" w:color="auto"/>
          </w:divBdr>
        </w:div>
        <w:div w:id="620110917">
          <w:marLeft w:val="0"/>
          <w:marRight w:val="0"/>
          <w:marTop w:val="0"/>
          <w:marBottom w:val="0"/>
          <w:divBdr>
            <w:top w:val="none" w:sz="0" w:space="0" w:color="auto"/>
            <w:left w:val="none" w:sz="0" w:space="0" w:color="auto"/>
            <w:bottom w:val="none" w:sz="0" w:space="0" w:color="auto"/>
            <w:right w:val="none" w:sz="0" w:space="0" w:color="auto"/>
          </w:divBdr>
        </w:div>
        <w:div w:id="547956991">
          <w:marLeft w:val="0"/>
          <w:marRight w:val="0"/>
          <w:marTop w:val="0"/>
          <w:marBottom w:val="300"/>
          <w:divBdr>
            <w:top w:val="none" w:sz="0" w:space="0" w:color="auto"/>
            <w:left w:val="none" w:sz="0" w:space="0" w:color="auto"/>
            <w:bottom w:val="none" w:sz="0" w:space="0" w:color="auto"/>
            <w:right w:val="none" w:sz="0" w:space="0" w:color="auto"/>
          </w:divBdr>
          <w:divsChild>
            <w:div w:id="1802920350">
              <w:marLeft w:val="0"/>
              <w:marRight w:val="0"/>
              <w:marTop w:val="0"/>
              <w:marBottom w:val="0"/>
              <w:divBdr>
                <w:top w:val="none" w:sz="0" w:space="0" w:color="auto"/>
                <w:left w:val="none" w:sz="0" w:space="0" w:color="auto"/>
                <w:bottom w:val="none" w:sz="0" w:space="0" w:color="auto"/>
                <w:right w:val="none" w:sz="0" w:space="0" w:color="auto"/>
              </w:divBdr>
              <w:divsChild>
                <w:div w:id="1108232430">
                  <w:marLeft w:val="0"/>
                  <w:marRight w:val="0"/>
                  <w:marTop w:val="0"/>
                  <w:marBottom w:val="0"/>
                  <w:divBdr>
                    <w:top w:val="none" w:sz="0" w:space="0" w:color="auto"/>
                    <w:left w:val="none" w:sz="0" w:space="0" w:color="auto"/>
                    <w:bottom w:val="none" w:sz="0" w:space="0" w:color="auto"/>
                    <w:right w:val="none" w:sz="0" w:space="0" w:color="auto"/>
                  </w:divBdr>
                  <w:divsChild>
                    <w:div w:id="1590042290">
                      <w:marLeft w:val="0"/>
                      <w:marRight w:val="103"/>
                      <w:marTop w:val="0"/>
                      <w:marBottom w:val="0"/>
                      <w:divBdr>
                        <w:top w:val="none" w:sz="0" w:space="0" w:color="auto"/>
                        <w:left w:val="none" w:sz="0" w:space="0" w:color="auto"/>
                        <w:bottom w:val="none" w:sz="0" w:space="0" w:color="auto"/>
                        <w:right w:val="none" w:sz="0" w:space="0" w:color="auto"/>
                      </w:divBdr>
                      <w:divsChild>
                        <w:div w:id="1668292122">
                          <w:marLeft w:val="0"/>
                          <w:marRight w:val="0"/>
                          <w:marTop w:val="0"/>
                          <w:marBottom w:val="0"/>
                          <w:divBdr>
                            <w:top w:val="none" w:sz="0" w:space="0" w:color="auto"/>
                            <w:left w:val="none" w:sz="0" w:space="0" w:color="auto"/>
                            <w:bottom w:val="none" w:sz="0" w:space="0" w:color="auto"/>
                            <w:right w:val="none" w:sz="0" w:space="0" w:color="auto"/>
                          </w:divBdr>
                          <w:divsChild>
                            <w:div w:id="167649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7807">
                      <w:marLeft w:val="103"/>
                      <w:marRight w:val="0"/>
                      <w:marTop w:val="0"/>
                      <w:marBottom w:val="0"/>
                      <w:divBdr>
                        <w:top w:val="none" w:sz="0" w:space="0" w:color="auto"/>
                        <w:left w:val="none" w:sz="0" w:space="0" w:color="auto"/>
                        <w:bottom w:val="none" w:sz="0" w:space="0" w:color="auto"/>
                        <w:right w:val="none" w:sz="0" w:space="0" w:color="auto"/>
                      </w:divBdr>
                      <w:divsChild>
                        <w:div w:id="1242566794">
                          <w:marLeft w:val="0"/>
                          <w:marRight w:val="0"/>
                          <w:marTop w:val="0"/>
                          <w:marBottom w:val="0"/>
                          <w:divBdr>
                            <w:top w:val="none" w:sz="0" w:space="0" w:color="auto"/>
                            <w:left w:val="none" w:sz="0" w:space="0" w:color="auto"/>
                            <w:bottom w:val="none" w:sz="0" w:space="0" w:color="auto"/>
                            <w:right w:val="none" w:sz="0" w:space="0" w:color="auto"/>
                          </w:divBdr>
                          <w:divsChild>
                            <w:div w:id="141986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504703">
          <w:marLeft w:val="0"/>
          <w:marRight w:val="0"/>
          <w:marTop w:val="0"/>
          <w:marBottom w:val="0"/>
          <w:divBdr>
            <w:top w:val="none" w:sz="0" w:space="0" w:color="auto"/>
            <w:left w:val="none" w:sz="0" w:space="0" w:color="auto"/>
            <w:bottom w:val="none" w:sz="0" w:space="0" w:color="auto"/>
            <w:right w:val="none" w:sz="0" w:space="0" w:color="auto"/>
          </w:divBdr>
        </w:div>
        <w:div w:id="2045253941">
          <w:marLeft w:val="0"/>
          <w:marRight w:val="0"/>
          <w:marTop w:val="0"/>
          <w:marBottom w:val="0"/>
          <w:divBdr>
            <w:top w:val="none" w:sz="0" w:space="0" w:color="auto"/>
            <w:left w:val="none" w:sz="0" w:space="0" w:color="auto"/>
            <w:bottom w:val="none" w:sz="0" w:space="0" w:color="auto"/>
            <w:right w:val="none" w:sz="0" w:space="0" w:color="auto"/>
          </w:divBdr>
        </w:div>
        <w:div w:id="393235082">
          <w:marLeft w:val="0"/>
          <w:marRight w:val="0"/>
          <w:marTop w:val="0"/>
          <w:marBottom w:val="0"/>
          <w:divBdr>
            <w:top w:val="none" w:sz="0" w:space="0" w:color="auto"/>
            <w:left w:val="none" w:sz="0" w:space="0" w:color="auto"/>
            <w:bottom w:val="none" w:sz="0" w:space="0" w:color="auto"/>
            <w:right w:val="none" w:sz="0" w:space="0" w:color="auto"/>
          </w:divBdr>
        </w:div>
        <w:div w:id="1030491063">
          <w:marLeft w:val="0"/>
          <w:marRight w:val="0"/>
          <w:marTop w:val="0"/>
          <w:marBottom w:val="300"/>
          <w:divBdr>
            <w:top w:val="none" w:sz="0" w:space="0" w:color="auto"/>
            <w:left w:val="none" w:sz="0" w:space="0" w:color="auto"/>
            <w:bottom w:val="none" w:sz="0" w:space="0" w:color="auto"/>
            <w:right w:val="none" w:sz="0" w:space="0" w:color="auto"/>
          </w:divBdr>
          <w:divsChild>
            <w:div w:id="1912616385">
              <w:marLeft w:val="0"/>
              <w:marRight w:val="0"/>
              <w:marTop w:val="0"/>
              <w:marBottom w:val="0"/>
              <w:divBdr>
                <w:top w:val="none" w:sz="0" w:space="0" w:color="auto"/>
                <w:left w:val="none" w:sz="0" w:space="0" w:color="auto"/>
                <w:bottom w:val="none" w:sz="0" w:space="0" w:color="auto"/>
                <w:right w:val="none" w:sz="0" w:space="0" w:color="auto"/>
              </w:divBdr>
              <w:divsChild>
                <w:div w:id="743184102">
                  <w:marLeft w:val="0"/>
                  <w:marRight w:val="0"/>
                  <w:marTop w:val="0"/>
                  <w:marBottom w:val="0"/>
                  <w:divBdr>
                    <w:top w:val="none" w:sz="0" w:space="0" w:color="auto"/>
                    <w:left w:val="none" w:sz="0" w:space="0" w:color="auto"/>
                    <w:bottom w:val="none" w:sz="0" w:space="0" w:color="auto"/>
                    <w:right w:val="none" w:sz="0" w:space="0" w:color="auto"/>
                  </w:divBdr>
                  <w:divsChild>
                    <w:div w:id="1495294160">
                      <w:marLeft w:val="0"/>
                      <w:marRight w:val="103"/>
                      <w:marTop w:val="0"/>
                      <w:marBottom w:val="0"/>
                      <w:divBdr>
                        <w:top w:val="none" w:sz="0" w:space="0" w:color="auto"/>
                        <w:left w:val="none" w:sz="0" w:space="0" w:color="auto"/>
                        <w:bottom w:val="none" w:sz="0" w:space="0" w:color="auto"/>
                        <w:right w:val="none" w:sz="0" w:space="0" w:color="auto"/>
                      </w:divBdr>
                      <w:divsChild>
                        <w:div w:id="2079009430">
                          <w:marLeft w:val="0"/>
                          <w:marRight w:val="0"/>
                          <w:marTop w:val="0"/>
                          <w:marBottom w:val="0"/>
                          <w:divBdr>
                            <w:top w:val="none" w:sz="0" w:space="0" w:color="auto"/>
                            <w:left w:val="none" w:sz="0" w:space="0" w:color="auto"/>
                            <w:bottom w:val="none" w:sz="0" w:space="0" w:color="auto"/>
                            <w:right w:val="none" w:sz="0" w:space="0" w:color="auto"/>
                          </w:divBdr>
                          <w:divsChild>
                            <w:div w:id="113016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4657">
                      <w:marLeft w:val="103"/>
                      <w:marRight w:val="0"/>
                      <w:marTop w:val="0"/>
                      <w:marBottom w:val="0"/>
                      <w:divBdr>
                        <w:top w:val="none" w:sz="0" w:space="0" w:color="auto"/>
                        <w:left w:val="none" w:sz="0" w:space="0" w:color="auto"/>
                        <w:bottom w:val="none" w:sz="0" w:space="0" w:color="auto"/>
                        <w:right w:val="none" w:sz="0" w:space="0" w:color="auto"/>
                      </w:divBdr>
                      <w:divsChild>
                        <w:div w:id="560747788">
                          <w:marLeft w:val="0"/>
                          <w:marRight w:val="0"/>
                          <w:marTop w:val="0"/>
                          <w:marBottom w:val="0"/>
                          <w:divBdr>
                            <w:top w:val="none" w:sz="0" w:space="0" w:color="auto"/>
                            <w:left w:val="none" w:sz="0" w:space="0" w:color="auto"/>
                            <w:bottom w:val="none" w:sz="0" w:space="0" w:color="auto"/>
                            <w:right w:val="none" w:sz="0" w:space="0" w:color="auto"/>
                          </w:divBdr>
                          <w:divsChild>
                            <w:div w:id="207981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701318">
          <w:marLeft w:val="0"/>
          <w:marRight w:val="0"/>
          <w:marTop w:val="0"/>
          <w:marBottom w:val="0"/>
          <w:divBdr>
            <w:top w:val="none" w:sz="0" w:space="0" w:color="auto"/>
            <w:left w:val="none" w:sz="0" w:space="0" w:color="auto"/>
            <w:bottom w:val="none" w:sz="0" w:space="0" w:color="auto"/>
            <w:right w:val="none" w:sz="0" w:space="0" w:color="auto"/>
          </w:divBdr>
        </w:div>
        <w:div w:id="1810971638">
          <w:marLeft w:val="0"/>
          <w:marRight w:val="0"/>
          <w:marTop w:val="0"/>
          <w:marBottom w:val="0"/>
          <w:divBdr>
            <w:top w:val="none" w:sz="0" w:space="0" w:color="auto"/>
            <w:left w:val="none" w:sz="0" w:space="0" w:color="auto"/>
            <w:bottom w:val="none" w:sz="0" w:space="0" w:color="auto"/>
            <w:right w:val="none" w:sz="0" w:space="0" w:color="auto"/>
          </w:divBdr>
        </w:div>
        <w:div w:id="1578589532">
          <w:marLeft w:val="0"/>
          <w:marRight w:val="0"/>
          <w:marTop w:val="0"/>
          <w:marBottom w:val="0"/>
          <w:divBdr>
            <w:top w:val="none" w:sz="0" w:space="0" w:color="auto"/>
            <w:left w:val="none" w:sz="0" w:space="0" w:color="auto"/>
            <w:bottom w:val="none" w:sz="0" w:space="0" w:color="auto"/>
            <w:right w:val="none" w:sz="0" w:space="0" w:color="auto"/>
          </w:divBdr>
        </w:div>
        <w:div w:id="2024669485">
          <w:marLeft w:val="0"/>
          <w:marRight w:val="0"/>
          <w:marTop w:val="0"/>
          <w:marBottom w:val="300"/>
          <w:divBdr>
            <w:top w:val="none" w:sz="0" w:space="0" w:color="auto"/>
            <w:left w:val="none" w:sz="0" w:space="0" w:color="auto"/>
            <w:bottom w:val="none" w:sz="0" w:space="0" w:color="auto"/>
            <w:right w:val="none" w:sz="0" w:space="0" w:color="auto"/>
          </w:divBdr>
          <w:divsChild>
            <w:div w:id="1829591803">
              <w:marLeft w:val="0"/>
              <w:marRight w:val="0"/>
              <w:marTop w:val="0"/>
              <w:marBottom w:val="0"/>
              <w:divBdr>
                <w:top w:val="none" w:sz="0" w:space="0" w:color="auto"/>
                <w:left w:val="none" w:sz="0" w:space="0" w:color="auto"/>
                <w:bottom w:val="none" w:sz="0" w:space="0" w:color="auto"/>
                <w:right w:val="none" w:sz="0" w:space="0" w:color="auto"/>
              </w:divBdr>
              <w:divsChild>
                <w:div w:id="94596810">
                  <w:marLeft w:val="0"/>
                  <w:marRight w:val="0"/>
                  <w:marTop w:val="0"/>
                  <w:marBottom w:val="0"/>
                  <w:divBdr>
                    <w:top w:val="none" w:sz="0" w:space="0" w:color="auto"/>
                    <w:left w:val="none" w:sz="0" w:space="0" w:color="auto"/>
                    <w:bottom w:val="none" w:sz="0" w:space="0" w:color="auto"/>
                    <w:right w:val="none" w:sz="0" w:space="0" w:color="auto"/>
                  </w:divBdr>
                  <w:divsChild>
                    <w:div w:id="1430661722">
                      <w:marLeft w:val="0"/>
                      <w:marRight w:val="0"/>
                      <w:marTop w:val="0"/>
                      <w:marBottom w:val="0"/>
                      <w:divBdr>
                        <w:top w:val="none" w:sz="0" w:space="0" w:color="auto"/>
                        <w:left w:val="none" w:sz="0" w:space="0" w:color="auto"/>
                        <w:bottom w:val="none" w:sz="0" w:space="0" w:color="auto"/>
                        <w:right w:val="none" w:sz="0" w:space="0" w:color="auto"/>
                      </w:divBdr>
                      <w:divsChild>
                        <w:div w:id="260071520">
                          <w:marLeft w:val="0"/>
                          <w:marRight w:val="0"/>
                          <w:marTop w:val="0"/>
                          <w:marBottom w:val="0"/>
                          <w:divBdr>
                            <w:top w:val="none" w:sz="0" w:space="0" w:color="auto"/>
                            <w:left w:val="none" w:sz="0" w:space="0" w:color="auto"/>
                            <w:bottom w:val="none" w:sz="0" w:space="0" w:color="auto"/>
                            <w:right w:val="none" w:sz="0" w:space="0" w:color="auto"/>
                          </w:divBdr>
                          <w:divsChild>
                            <w:div w:id="635456621">
                              <w:marLeft w:val="0"/>
                              <w:marRight w:val="0"/>
                              <w:marTop w:val="0"/>
                              <w:marBottom w:val="300"/>
                              <w:divBdr>
                                <w:top w:val="none" w:sz="0" w:space="0" w:color="auto"/>
                                <w:left w:val="none" w:sz="0" w:space="0" w:color="auto"/>
                                <w:bottom w:val="none" w:sz="0" w:space="0" w:color="auto"/>
                                <w:right w:val="none" w:sz="0" w:space="0" w:color="auto"/>
                              </w:divBdr>
                              <w:divsChild>
                                <w:div w:id="69993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220412">
                      <w:marLeft w:val="109"/>
                      <w:marRight w:val="0"/>
                      <w:marTop w:val="0"/>
                      <w:marBottom w:val="0"/>
                      <w:divBdr>
                        <w:top w:val="none" w:sz="0" w:space="0" w:color="auto"/>
                        <w:left w:val="none" w:sz="0" w:space="0" w:color="auto"/>
                        <w:bottom w:val="none" w:sz="0" w:space="0" w:color="auto"/>
                        <w:right w:val="none" w:sz="0" w:space="0" w:color="auto"/>
                      </w:divBdr>
                      <w:divsChild>
                        <w:div w:id="158694790">
                          <w:marLeft w:val="0"/>
                          <w:marRight w:val="0"/>
                          <w:marTop w:val="0"/>
                          <w:marBottom w:val="0"/>
                          <w:divBdr>
                            <w:top w:val="none" w:sz="0" w:space="0" w:color="auto"/>
                            <w:left w:val="none" w:sz="0" w:space="0" w:color="auto"/>
                            <w:bottom w:val="none" w:sz="0" w:space="0" w:color="auto"/>
                            <w:right w:val="none" w:sz="0" w:space="0" w:color="auto"/>
                          </w:divBdr>
                          <w:divsChild>
                            <w:div w:id="150165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917535">
          <w:marLeft w:val="0"/>
          <w:marRight w:val="0"/>
          <w:marTop w:val="0"/>
          <w:marBottom w:val="300"/>
          <w:divBdr>
            <w:top w:val="none" w:sz="0" w:space="0" w:color="auto"/>
            <w:left w:val="none" w:sz="0" w:space="0" w:color="auto"/>
            <w:bottom w:val="none" w:sz="0" w:space="0" w:color="auto"/>
            <w:right w:val="none" w:sz="0" w:space="0" w:color="auto"/>
          </w:divBdr>
          <w:divsChild>
            <w:div w:id="1770660031">
              <w:marLeft w:val="0"/>
              <w:marRight w:val="0"/>
              <w:marTop w:val="0"/>
              <w:marBottom w:val="0"/>
              <w:divBdr>
                <w:top w:val="none" w:sz="0" w:space="0" w:color="auto"/>
                <w:left w:val="none" w:sz="0" w:space="0" w:color="auto"/>
                <w:bottom w:val="none" w:sz="0" w:space="0" w:color="auto"/>
                <w:right w:val="none" w:sz="0" w:space="0" w:color="auto"/>
              </w:divBdr>
              <w:divsChild>
                <w:div w:id="263534025">
                  <w:marLeft w:val="0"/>
                  <w:marRight w:val="0"/>
                  <w:marTop w:val="0"/>
                  <w:marBottom w:val="0"/>
                  <w:divBdr>
                    <w:top w:val="none" w:sz="0" w:space="0" w:color="auto"/>
                    <w:left w:val="none" w:sz="0" w:space="0" w:color="auto"/>
                    <w:bottom w:val="none" w:sz="0" w:space="0" w:color="auto"/>
                    <w:right w:val="none" w:sz="0" w:space="0" w:color="auto"/>
                  </w:divBdr>
                  <w:divsChild>
                    <w:div w:id="1857963305">
                      <w:marLeft w:val="0"/>
                      <w:marRight w:val="103"/>
                      <w:marTop w:val="0"/>
                      <w:marBottom w:val="0"/>
                      <w:divBdr>
                        <w:top w:val="none" w:sz="0" w:space="0" w:color="auto"/>
                        <w:left w:val="none" w:sz="0" w:space="0" w:color="auto"/>
                        <w:bottom w:val="none" w:sz="0" w:space="0" w:color="auto"/>
                        <w:right w:val="none" w:sz="0" w:space="0" w:color="auto"/>
                      </w:divBdr>
                      <w:divsChild>
                        <w:div w:id="900478899">
                          <w:marLeft w:val="0"/>
                          <w:marRight w:val="0"/>
                          <w:marTop w:val="0"/>
                          <w:marBottom w:val="0"/>
                          <w:divBdr>
                            <w:top w:val="none" w:sz="0" w:space="0" w:color="auto"/>
                            <w:left w:val="none" w:sz="0" w:space="0" w:color="auto"/>
                            <w:bottom w:val="none" w:sz="0" w:space="0" w:color="auto"/>
                            <w:right w:val="none" w:sz="0" w:space="0" w:color="auto"/>
                          </w:divBdr>
                          <w:divsChild>
                            <w:div w:id="185834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00722">
                      <w:marLeft w:val="103"/>
                      <w:marRight w:val="0"/>
                      <w:marTop w:val="0"/>
                      <w:marBottom w:val="0"/>
                      <w:divBdr>
                        <w:top w:val="none" w:sz="0" w:space="0" w:color="auto"/>
                        <w:left w:val="none" w:sz="0" w:space="0" w:color="auto"/>
                        <w:bottom w:val="none" w:sz="0" w:space="0" w:color="auto"/>
                        <w:right w:val="none" w:sz="0" w:space="0" w:color="auto"/>
                      </w:divBdr>
                      <w:divsChild>
                        <w:div w:id="1386834283">
                          <w:marLeft w:val="0"/>
                          <w:marRight w:val="0"/>
                          <w:marTop w:val="0"/>
                          <w:marBottom w:val="0"/>
                          <w:divBdr>
                            <w:top w:val="none" w:sz="0" w:space="0" w:color="auto"/>
                            <w:left w:val="none" w:sz="0" w:space="0" w:color="auto"/>
                            <w:bottom w:val="none" w:sz="0" w:space="0" w:color="auto"/>
                            <w:right w:val="none" w:sz="0" w:space="0" w:color="auto"/>
                          </w:divBdr>
                          <w:divsChild>
                            <w:div w:id="34537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012247">
          <w:marLeft w:val="0"/>
          <w:marRight w:val="0"/>
          <w:marTop w:val="0"/>
          <w:marBottom w:val="0"/>
          <w:divBdr>
            <w:top w:val="none" w:sz="0" w:space="0" w:color="auto"/>
            <w:left w:val="none" w:sz="0" w:space="0" w:color="auto"/>
            <w:bottom w:val="none" w:sz="0" w:space="0" w:color="auto"/>
            <w:right w:val="none" w:sz="0" w:space="0" w:color="auto"/>
          </w:divBdr>
        </w:div>
        <w:div w:id="703870326">
          <w:marLeft w:val="0"/>
          <w:marRight w:val="0"/>
          <w:marTop w:val="0"/>
          <w:marBottom w:val="0"/>
          <w:divBdr>
            <w:top w:val="none" w:sz="0" w:space="0" w:color="auto"/>
            <w:left w:val="none" w:sz="0" w:space="0" w:color="auto"/>
            <w:bottom w:val="none" w:sz="0" w:space="0" w:color="auto"/>
            <w:right w:val="none" w:sz="0" w:space="0" w:color="auto"/>
          </w:divBdr>
        </w:div>
        <w:div w:id="1615557272">
          <w:marLeft w:val="0"/>
          <w:marRight w:val="0"/>
          <w:marTop w:val="0"/>
          <w:marBottom w:val="0"/>
          <w:divBdr>
            <w:top w:val="none" w:sz="0" w:space="0" w:color="auto"/>
            <w:left w:val="none" w:sz="0" w:space="0" w:color="auto"/>
            <w:bottom w:val="none" w:sz="0" w:space="0" w:color="auto"/>
            <w:right w:val="none" w:sz="0" w:space="0" w:color="auto"/>
          </w:divBdr>
        </w:div>
        <w:div w:id="2018271081">
          <w:marLeft w:val="0"/>
          <w:marRight w:val="0"/>
          <w:marTop w:val="0"/>
          <w:marBottom w:val="300"/>
          <w:divBdr>
            <w:top w:val="none" w:sz="0" w:space="0" w:color="auto"/>
            <w:left w:val="none" w:sz="0" w:space="0" w:color="auto"/>
            <w:bottom w:val="none" w:sz="0" w:space="0" w:color="auto"/>
            <w:right w:val="none" w:sz="0" w:space="0" w:color="auto"/>
          </w:divBdr>
          <w:divsChild>
            <w:div w:id="954747212">
              <w:marLeft w:val="0"/>
              <w:marRight w:val="0"/>
              <w:marTop w:val="0"/>
              <w:marBottom w:val="0"/>
              <w:divBdr>
                <w:top w:val="none" w:sz="0" w:space="0" w:color="auto"/>
                <w:left w:val="none" w:sz="0" w:space="0" w:color="auto"/>
                <w:bottom w:val="none" w:sz="0" w:space="0" w:color="auto"/>
                <w:right w:val="none" w:sz="0" w:space="0" w:color="auto"/>
              </w:divBdr>
              <w:divsChild>
                <w:div w:id="604775428">
                  <w:marLeft w:val="0"/>
                  <w:marRight w:val="0"/>
                  <w:marTop w:val="0"/>
                  <w:marBottom w:val="0"/>
                  <w:divBdr>
                    <w:top w:val="none" w:sz="0" w:space="0" w:color="auto"/>
                    <w:left w:val="none" w:sz="0" w:space="0" w:color="auto"/>
                    <w:bottom w:val="none" w:sz="0" w:space="0" w:color="auto"/>
                    <w:right w:val="none" w:sz="0" w:space="0" w:color="auto"/>
                  </w:divBdr>
                  <w:divsChild>
                    <w:div w:id="1255554020">
                      <w:marLeft w:val="0"/>
                      <w:marRight w:val="103"/>
                      <w:marTop w:val="0"/>
                      <w:marBottom w:val="0"/>
                      <w:divBdr>
                        <w:top w:val="none" w:sz="0" w:space="0" w:color="auto"/>
                        <w:left w:val="none" w:sz="0" w:space="0" w:color="auto"/>
                        <w:bottom w:val="none" w:sz="0" w:space="0" w:color="auto"/>
                        <w:right w:val="none" w:sz="0" w:space="0" w:color="auto"/>
                      </w:divBdr>
                      <w:divsChild>
                        <w:div w:id="526794571">
                          <w:marLeft w:val="0"/>
                          <w:marRight w:val="0"/>
                          <w:marTop w:val="0"/>
                          <w:marBottom w:val="0"/>
                          <w:divBdr>
                            <w:top w:val="none" w:sz="0" w:space="0" w:color="auto"/>
                            <w:left w:val="none" w:sz="0" w:space="0" w:color="auto"/>
                            <w:bottom w:val="none" w:sz="0" w:space="0" w:color="auto"/>
                            <w:right w:val="none" w:sz="0" w:space="0" w:color="auto"/>
                          </w:divBdr>
                          <w:divsChild>
                            <w:div w:id="16752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6349">
                      <w:marLeft w:val="103"/>
                      <w:marRight w:val="0"/>
                      <w:marTop w:val="0"/>
                      <w:marBottom w:val="0"/>
                      <w:divBdr>
                        <w:top w:val="none" w:sz="0" w:space="0" w:color="auto"/>
                        <w:left w:val="none" w:sz="0" w:space="0" w:color="auto"/>
                        <w:bottom w:val="none" w:sz="0" w:space="0" w:color="auto"/>
                        <w:right w:val="none" w:sz="0" w:space="0" w:color="auto"/>
                      </w:divBdr>
                      <w:divsChild>
                        <w:div w:id="1055928046">
                          <w:marLeft w:val="0"/>
                          <w:marRight w:val="0"/>
                          <w:marTop w:val="0"/>
                          <w:marBottom w:val="0"/>
                          <w:divBdr>
                            <w:top w:val="none" w:sz="0" w:space="0" w:color="auto"/>
                            <w:left w:val="none" w:sz="0" w:space="0" w:color="auto"/>
                            <w:bottom w:val="none" w:sz="0" w:space="0" w:color="auto"/>
                            <w:right w:val="none" w:sz="0" w:space="0" w:color="auto"/>
                          </w:divBdr>
                          <w:divsChild>
                            <w:div w:id="77524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732948">
          <w:marLeft w:val="0"/>
          <w:marRight w:val="0"/>
          <w:marTop w:val="0"/>
          <w:marBottom w:val="0"/>
          <w:divBdr>
            <w:top w:val="none" w:sz="0" w:space="0" w:color="auto"/>
            <w:left w:val="none" w:sz="0" w:space="0" w:color="auto"/>
            <w:bottom w:val="none" w:sz="0" w:space="0" w:color="auto"/>
            <w:right w:val="none" w:sz="0" w:space="0" w:color="auto"/>
          </w:divBdr>
        </w:div>
        <w:div w:id="428433918">
          <w:marLeft w:val="0"/>
          <w:marRight w:val="0"/>
          <w:marTop w:val="0"/>
          <w:marBottom w:val="0"/>
          <w:divBdr>
            <w:top w:val="none" w:sz="0" w:space="0" w:color="auto"/>
            <w:left w:val="none" w:sz="0" w:space="0" w:color="auto"/>
            <w:bottom w:val="none" w:sz="0" w:space="0" w:color="auto"/>
            <w:right w:val="none" w:sz="0" w:space="0" w:color="auto"/>
          </w:divBdr>
        </w:div>
        <w:div w:id="1952585944">
          <w:marLeft w:val="0"/>
          <w:marRight w:val="0"/>
          <w:marTop w:val="0"/>
          <w:marBottom w:val="0"/>
          <w:divBdr>
            <w:top w:val="none" w:sz="0" w:space="0" w:color="auto"/>
            <w:left w:val="none" w:sz="0" w:space="0" w:color="auto"/>
            <w:bottom w:val="none" w:sz="0" w:space="0" w:color="auto"/>
            <w:right w:val="none" w:sz="0" w:space="0" w:color="auto"/>
          </w:divBdr>
        </w:div>
        <w:div w:id="1158108891">
          <w:marLeft w:val="0"/>
          <w:marRight w:val="0"/>
          <w:marTop w:val="0"/>
          <w:marBottom w:val="0"/>
          <w:divBdr>
            <w:top w:val="none" w:sz="0" w:space="0" w:color="auto"/>
            <w:left w:val="none" w:sz="0" w:space="0" w:color="auto"/>
            <w:bottom w:val="none" w:sz="0" w:space="0" w:color="auto"/>
            <w:right w:val="none" w:sz="0" w:space="0" w:color="auto"/>
          </w:divBdr>
        </w:div>
        <w:div w:id="1848983511">
          <w:marLeft w:val="0"/>
          <w:marRight w:val="0"/>
          <w:marTop w:val="0"/>
          <w:marBottom w:val="300"/>
          <w:divBdr>
            <w:top w:val="none" w:sz="0" w:space="0" w:color="auto"/>
            <w:left w:val="none" w:sz="0" w:space="0" w:color="auto"/>
            <w:bottom w:val="none" w:sz="0" w:space="0" w:color="auto"/>
            <w:right w:val="none" w:sz="0" w:space="0" w:color="auto"/>
          </w:divBdr>
          <w:divsChild>
            <w:div w:id="384987997">
              <w:marLeft w:val="0"/>
              <w:marRight w:val="0"/>
              <w:marTop w:val="0"/>
              <w:marBottom w:val="0"/>
              <w:divBdr>
                <w:top w:val="none" w:sz="0" w:space="0" w:color="auto"/>
                <w:left w:val="none" w:sz="0" w:space="0" w:color="auto"/>
                <w:bottom w:val="none" w:sz="0" w:space="0" w:color="auto"/>
                <w:right w:val="none" w:sz="0" w:space="0" w:color="auto"/>
              </w:divBdr>
              <w:divsChild>
                <w:div w:id="860629549">
                  <w:marLeft w:val="0"/>
                  <w:marRight w:val="0"/>
                  <w:marTop w:val="0"/>
                  <w:marBottom w:val="0"/>
                  <w:divBdr>
                    <w:top w:val="none" w:sz="0" w:space="0" w:color="auto"/>
                    <w:left w:val="none" w:sz="0" w:space="0" w:color="auto"/>
                    <w:bottom w:val="none" w:sz="0" w:space="0" w:color="auto"/>
                    <w:right w:val="none" w:sz="0" w:space="0" w:color="auto"/>
                  </w:divBdr>
                  <w:divsChild>
                    <w:div w:id="1284264480">
                      <w:marLeft w:val="0"/>
                      <w:marRight w:val="103"/>
                      <w:marTop w:val="0"/>
                      <w:marBottom w:val="0"/>
                      <w:divBdr>
                        <w:top w:val="none" w:sz="0" w:space="0" w:color="auto"/>
                        <w:left w:val="none" w:sz="0" w:space="0" w:color="auto"/>
                        <w:bottom w:val="none" w:sz="0" w:space="0" w:color="auto"/>
                        <w:right w:val="none" w:sz="0" w:space="0" w:color="auto"/>
                      </w:divBdr>
                      <w:divsChild>
                        <w:div w:id="1844396555">
                          <w:marLeft w:val="0"/>
                          <w:marRight w:val="0"/>
                          <w:marTop w:val="0"/>
                          <w:marBottom w:val="0"/>
                          <w:divBdr>
                            <w:top w:val="none" w:sz="0" w:space="0" w:color="auto"/>
                            <w:left w:val="none" w:sz="0" w:space="0" w:color="auto"/>
                            <w:bottom w:val="none" w:sz="0" w:space="0" w:color="auto"/>
                            <w:right w:val="none" w:sz="0" w:space="0" w:color="auto"/>
                          </w:divBdr>
                          <w:divsChild>
                            <w:div w:id="139469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61308">
                      <w:marLeft w:val="103"/>
                      <w:marRight w:val="0"/>
                      <w:marTop w:val="0"/>
                      <w:marBottom w:val="0"/>
                      <w:divBdr>
                        <w:top w:val="none" w:sz="0" w:space="0" w:color="auto"/>
                        <w:left w:val="none" w:sz="0" w:space="0" w:color="auto"/>
                        <w:bottom w:val="none" w:sz="0" w:space="0" w:color="auto"/>
                        <w:right w:val="none" w:sz="0" w:space="0" w:color="auto"/>
                      </w:divBdr>
                      <w:divsChild>
                        <w:div w:id="955258228">
                          <w:marLeft w:val="0"/>
                          <w:marRight w:val="0"/>
                          <w:marTop w:val="0"/>
                          <w:marBottom w:val="0"/>
                          <w:divBdr>
                            <w:top w:val="none" w:sz="0" w:space="0" w:color="auto"/>
                            <w:left w:val="none" w:sz="0" w:space="0" w:color="auto"/>
                            <w:bottom w:val="none" w:sz="0" w:space="0" w:color="auto"/>
                            <w:right w:val="none" w:sz="0" w:space="0" w:color="auto"/>
                          </w:divBdr>
                          <w:divsChild>
                            <w:div w:id="2784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229475">
          <w:marLeft w:val="0"/>
          <w:marRight w:val="0"/>
          <w:marTop w:val="0"/>
          <w:marBottom w:val="0"/>
          <w:divBdr>
            <w:top w:val="none" w:sz="0" w:space="0" w:color="auto"/>
            <w:left w:val="none" w:sz="0" w:space="0" w:color="auto"/>
            <w:bottom w:val="none" w:sz="0" w:space="0" w:color="auto"/>
            <w:right w:val="none" w:sz="0" w:space="0" w:color="auto"/>
          </w:divBdr>
        </w:div>
        <w:div w:id="1811511790">
          <w:marLeft w:val="0"/>
          <w:marRight w:val="0"/>
          <w:marTop w:val="0"/>
          <w:marBottom w:val="0"/>
          <w:divBdr>
            <w:top w:val="none" w:sz="0" w:space="0" w:color="auto"/>
            <w:left w:val="none" w:sz="0" w:space="0" w:color="auto"/>
            <w:bottom w:val="none" w:sz="0" w:space="0" w:color="auto"/>
            <w:right w:val="none" w:sz="0" w:space="0" w:color="auto"/>
          </w:divBdr>
        </w:div>
        <w:div w:id="1169520634">
          <w:marLeft w:val="0"/>
          <w:marRight w:val="0"/>
          <w:marTop w:val="0"/>
          <w:marBottom w:val="0"/>
          <w:divBdr>
            <w:top w:val="none" w:sz="0" w:space="0" w:color="auto"/>
            <w:left w:val="none" w:sz="0" w:space="0" w:color="auto"/>
            <w:bottom w:val="none" w:sz="0" w:space="0" w:color="auto"/>
            <w:right w:val="none" w:sz="0" w:space="0" w:color="auto"/>
          </w:divBdr>
        </w:div>
        <w:div w:id="1562016875">
          <w:marLeft w:val="0"/>
          <w:marRight w:val="0"/>
          <w:marTop w:val="0"/>
          <w:marBottom w:val="0"/>
          <w:divBdr>
            <w:top w:val="none" w:sz="0" w:space="0" w:color="auto"/>
            <w:left w:val="none" w:sz="0" w:space="0" w:color="auto"/>
            <w:bottom w:val="none" w:sz="0" w:space="0" w:color="auto"/>
            <w:right w:val="none" w:sz="0" w:space="0" w:color="auto"/>
          </w:divBdr>
        </w:div>
        <w:div w:id="1865166871">
          <w:marLeft w:val="0"/>
          <w:marRight w:val="0"/>
          <w:marTop w:val="0"/>
          <w:marBottom w:val="300"/>
          <w:divBdr>
            <w:top w:val="none" w:sz="0" w:space="0" w:color="auto"/>
            <w:left w:val="none" w:sz="0" w:space="0" w:color="auto"/>
            <w:bottom w:val="none" w:sz="0" w:space="0" w:color="auto"/>
            <w:right w:val="none" w:sz="0" w:space="0" w:color="auto"/>
          </w:divBdr>
          <w:divsChild>
            <w:div w:id="1122773555">
              <w:marLeft w:val="0"/>
              <w:marRight w:val="0"/>
              <w:marTop w:val="0"/>
              <w:marBottom w:val="0"/>
              <w:divBdr>
                <w:top w:val="none" w:sz="0" w:space="0" w:color="auto"/>
                <w:left w:val="none" w:sz="0" w:space="0" w:color="auto"/>
                <w:bottom w:val="none" w:sz="0" w:space="0" w:color="auto"/>
                <w:right w:val="none" w:sz="0" w:space="0" w:color="auto"/>
              </w:divBdr>
              <w:divsChild>
                <w:div w:id="1740320606">
                  <w:marLeft w:val="0"/>
                  <w:marRight w:val="0"/>
                  <w:marTop w:val="0"/>
                  <w:marBottom w:val="0"/>
                  <w:divBdr>
                    <w:top w:val="none" w:sz="0" w:space="0" w:color="auto"/>
                    <w:left w:val="none" w:sz="0" w:space="0" w:color="auto"/>
                    <w:bottom w:val="none" w:sz="0" w:space="0" w:color="auto"/>
                    <w:right w:val="none" w:sz="0" w:space="0" w:color="auto"/>
                  </w:divBdr>
                  <w:divsChild>
                    <w:div w:id="1831015759">
                      <w:marLeft w:val="0"/>
                      <w:marRight w:val="103"/>
                      <w:marTop w:val="0"/>
                      <w:marBottom w:val="0"/>
                      <w:divBdr>
                        <w:top w:val="none" w:sz="0" w:space="0" w:color="auto"/>
                        <w:left w:val="none" w:sz="0" w:space="0" w:color="auto"/>
                        <w:bottom w:val="none" w:sz="0" w:space="0" w:color="auto"/>
                        <w:right w:val="none" w:sz="0" w:space="0" w:color="auto"/>
                      </w:divBdr>
                      <w:divsChild>
                        <w:div w:id="1315909051">
                          <w:marLeft w:val="0"/>
                          <w:marRight w:val="0"/>
                          <w:marTop w:val="0"/>
                          <w:marBottom w:val="0"/>
                          <w:divBdr>
                            <w:top w:val="none" w:sz="0" w:space="0" w:color="auto"/>
                            <w:left w:val="none" w:sz="0" w:space="0" w:color="auto"/>
                            <w:bottom w:val="none" w:sz="0" w:space="0" w:color="auto"/>
                            <w:right w:val="none" w:sz="0" w:space="0" w:color="auto"/>
                          </w:divBdr>
                          <w:divsChild>
                            <w:div w:id="60943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24978">
                      <w:marLeft w:val="103"/>
                      <w:marRight w:val="0"/>
                      <w:marTop w:val="0"/>
                      <w:marBottom w:val="0"/>
                      <w:divBdr>
                        <w:top w:val="none" w:sz="0" w:space="0" w:color="auto"/>
                        <w:left w:val="none" w:sz="0" w:space="0" w:color="auto"/>
                        <w:bottom w:val="none" w:sz="0" w:space="0" w:color="auto"/>
                        <w:right w:val="none" w:sz="0" w:space="0" w:color="auto"/>
                      </w:divBdr>
                      <w:divsChild>
                        <w:div w:id="1409036807">
                          <w:marLeft w:val="0"/>
                          <w:marRight w:val="0"/>
                          <w:marTop w:val="0"/>
                          <w:marBottom w:val="0"/>
                          <w:divBdr>
                            <w:top w:val="none" w:sz="0" w:space="0" w:color="auto"/>
                            <w:left w:val="none" w:sz="0" w:space="0" w:color="auto"/>
                            <w:bottom w:val="none" w:sz="0" w:space="0" w:color="auto"/>
                            <w:right w:val="none" w:sz="0" w:space="0" w:color="auto"/>
                          </w:divBdr>
                          <w:divsChild>
                            <w:div w:id="153126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41299">
          <w:marLeft w:val="0"/>
          <w:marRight w:val="0"/>
          <w:marTop w:val="0"/>
          <w:marBottom w:val="0"/>
          <w:divBdr>
            <w:top w:val="none" w:sz="0" w:space="0" w:color="auto"/>
            <w:left w:val="none" w:sz="0" w:space="0" w:color="auto"/>
            <w:bottom w:val="none" w:sz="0" w:space="0" w:color="auto"/>
            <w:right w:val="none" w:sz="0" w:space="0" w:color="auto"/>
          </w:divBdr>
        </w:div>
        <w:div w:id="680401073">
          <w:marLeft w:val="0"/>
          <w:marRight w:val="0"/>
          <w:marTop w:val="0"/>
          <w:marBottom w:val="0"/>
          <w:divBdr>
            <w:top w:val="none" w:sz="0" w:space="0" w:color="auto"/>
            <w:left w:val="none" w:sz="0" w:space="0" w:color="auto"/>
            <w:bottom w:val="none" w:sz="0" w:space="0" w:color="auto"/>
            <w:right w:val="none" w:sz="0" w:space="0" w:color="auto"/>
          </w:divBdr>
        </w:div>
        <w:div w:id="99371990">
          <w:marLeft w:val="0"/>
          <w:marRight w:val="0"/>
          <w:marTop w:val="0"/>
          <w:marBottom w:val="300"/>
          <w:divBdr>
            <w:top w:val="none" w:sz="0" w:space="0" w:color="auto"/>
            <w:left w:val="none" w:sz="0" w:space="0" w:color="auto"/>
            <w:bottom w:val="none" w:sz="0" w:space="0" w:color="auto"/>
            <w:right w:val="none" w:sz="0" w:space="0" w:color="auto"/>
          </w:divBdr>
          <w:divsChild>
            <w:div w:id="1736584662">
              <w:marLeft w:val="0"/>
              <w:marRight w:val="0"/>
              <w:marTop w:val="0"/>
              <w:marBottom w:val="0"/>
              <w:divBdr>
                <w:top w:val="none" w:sz="0" w:space="0" w:color="auto"/>
                <w:left w:val="none" w:sz="0" w:space="0" w:color="auto"/>
                <w:bottom w:val="none" w:sz="0" w:space="0" w:color="auto"/>
                <w:right w:val="none" w:sz="0" w:space="0" w:color="auto"/>
              </w:divBdr>
              <w:divsChild>
                <w:div w:id="972297877">
                  <w:marLeft w:val="0"/>
                  <w:marRight w:val="0"/>
                  <w:marTop w:val="0"/>
                  <w:marBottom w:val="0"/>
                  <w:divBdr>
                    <w:top w:val="none" w:sz="0" w:space="0" w:color="auto"/>
                    <w:left w:val="none" w:sz="0" w:space="0" w:color="auto"/>
                    <w:bottom w:val="none" w:sz="0" w:space="0" w:color="auto"/>
                    <w:right w:val="none" w:sz="0" w:space="0" w:color="auto"/>
                  </w:divBdr>
                  <w:divsChild>
                    <w:div w:id="196889063">
                      <w:marLeft w:val="0"/>
                      <w:marRight w:val="103"/>
                      <w:marTop w:val="0"/>
                      <w:marBottom w:val="0"/>
                      <w:divBdr>
                        <w:top w:val="none" w:sz="0" w:space="0" w:color="auto"/>
                        <w:left w:val="none" w:sz="0" w:space="0" w:color="auto"/>
                        <w:bottom w:val="none" w:sz="0" w:space="0" w:color="auto"/>
                        <w:right w:val="none" w:sz="0" w:space="0" w:color="auto"/>
                      </w:divBdr>
                      <w:divsChild>
                        <w:div w:id="1249465594">
                          <w:marLeft w:val="0"/>
                          <w:marRight w:val="0"/>
                          <w:marTop w:val="0"/>
                          <w:marBottom w:val="0"/>
                          <w:divBdr>
                            <w:top w:val="none" w:sz="0" w:space="0" w:color="auto"/>
                            <w:left w:val="none" w:sz="0" w:space="0" w:color="auto"/>
                            <w:bottom w:val="none" w:sz="0" w:space="0" w:color="auto"/>
                            <w:right w:val="none" w:sz="0" w:space="0" w:color="auto"/>
                          </w:divBdr>
                          <w:divsChild>
                            <w:div w:id="21409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760">
                      <w:marLeft w:val="103"/>
                      <w:marRight w:val="0"/>
                      <w:marTop w:val="0"/>
                      <w:marBottom w:val="0"/>
                      <w:divBdr>
                        <w:top w:val="none" w:sz="0" w:space="0" w:color="auto"/>
                        <w:left w:val="none" w:sz="0" w:space="0" w:color="auto"/>
                        <w:bottom w:val="none" w:sz="0" w:space="0" w:color="auto"/>
                        <w:right w:val="none" w:sz="0" w:space="0" w:color="auto"/>
                      </w:divBdr>
                      <w:divsChild>
                        <w:div w:id="274483126">
                          <w:marLeft w:val="0"/>
                          <w:marRight w:val="0"/>
                          <w:marTop w:val="0"/>
                          <w:marBottom w:val="0"/>
                          <w:divBdr>
                            <w:top w:val="none" w:sz="0" w:space="0" w:color="auto"/>
                            <w:left w:val="none" w:sz="0" w:space="0" w:color="auto"/>
                            <w:bottom w:val="none" w:sz="0" w:space="0" w:color="auto"/>
                            <w:right w:val="none" w:sz="0" w:space="0" w:color="auto"/>
                          </w:divBdr>
                          <w:divsChild>
                            <w:div w:id="142861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709">
          <w:marLeft w:val="0"/>
          <w:marRight w:val="0"/>
          <w:marTop w:val="0"/>
          <w:marBottom w:val="0"/>
          <w:divBdr>
            <w:top w:val="none" w:sz="0" w:space="0" w:color="auto"/>
            <w:left w:val="none" w:sz="0" w:space="0" w:color="auto"/>
            <w:bottom w:val="none" w:sz="0" w:space="0" w:color="auto"/>
            <w:right w:val="none" w:sz="0" w:space="0" w:color="auto"/>
          </w:divBdr>
        </w:div>
        <w:div w:id="1874877395">
          <w:marLeft w:val="0"/>
          <w:marRight w:val="0"/>
          <w:marTop w:val="0"/>
          <w:marBottom w:val="0"/>
          <w:divBdr>
            <w:top w:val="none" w:sz="0" w:space="0" w:color="auto"/>
            <w:left w:val="none" w:sz="0" w:space="0" w:color="auto"/>
            <w:bottom w:val="none" w:sz="0" w:space="0" w:color="auto"/>
            <w:right w:val="none" w:sz="0" w:space="0" w:color="auto"/>
          </w:divBdr>
        </w:div>
        <w:div w:id="1529373141">
          <w:marLeft w:val="0"/>
          <w:marRight w:val="0"/>
          <w:marTop w:val="0"/>
          <w:marBottom w:val="0"/>
          <w:divBdr>
            <w:top w:val="none" w:sz="0" w:space="0" w:color="auto"/>
            <w:left w:val="none" w:sz="0" w:space="0" w:color="auto"/>
            <w:bottom w:val="none" w:sz="0" w:space="0" w:color="auto"/>
            <w:right w:val="none" w:sz="0" w:space="0" w:color="auto"/>
          </w:divBdr>
        </w:div>
        <w:div w:id="1089615967">
          <w:marLeft w:val="0"/>
          <w:marRight w:val="0"/>
          <w:marTop w:val="0"/>
          <w:marBottom w:val="0"/>
          <w:divBdr>
            <w:top w:val="none" w:sz="0" w:space="0" w:color="auto"/>
            <w:left w:val="none" w:sz="0" w:space="0" w:color="auto"/>
            <w:bottom w:val="none" w:sz="0" w:space="0" w:color="auto"/>
            <w:right w:val="none" w:sz="0" w:space="0" w:color="auto"/>
          </w:divBdr>
        </w:div>
        <w:div w:id="445852130">
          <w:marLeft w:val="0"/>
          <w:marRight w:val="0"/>
          <w:marTop w:val="0"/>
          <w:marBottom w:val="0"/>
          <w:divBdr>
            <w:top w:val="none" w:sz="0" w:space="0" w:color="auto"/>
            <w:left w:val="none" w:sz="0" w:space="0" w:color="auto"/>
            <w:bottom w:val="none" w:sz="0" w:space="0" w:color="auto"/>
            <w:right w:val="none" w:sz="0" w:space="0" w:color="auto"/>
          </w:divBdr>
        </w:div>
        <w:div w:id="1847787653">
          <w:marLeft w:val="0"/>
          <w:marRight w:val="0"/>
          <w:marTop w:val="0"/>
          <w:marBottom w:val="300"/>
          <w:divBdr>
            <w:top w:val="none" w:sz="0" w:space="0" w:color="auto"/>
            <w:left w:val="none" w:sz="0" w:space="0" w:color="auto"/>
            <w:bottom w:val="none" w:sz="0" w:space="0" w:color="auto"/>
            <w:right w:val="none" w:sz="0" w:space="0" w:color="auto"/>
          </w:divBdr>
          <w:divsChild>
            <w:div w:id="447432428">
              <w:marLeft w:val="0"/>
              <w:marRight w:val="0"/>
              <w:marTop w:val="0"/>
              <w:marBottom w:val="0"/>
              <w:divBdr>
                <w:top w:val="none" w:sz="0" w:space="0" w:color="auto"/>
                <w:left w:val="none" w:sz="0" w:space="0" w:color="auto"/>
                <w:bottom w:val="none" w:sz="0" w:space="0" w:color="auto"/>
                <w:right w:val="none" w:sz="0" w:space="0" w:color="auto"/>
              </w:divBdr>
              <w:divsChild>
                <w:div w:id="1559784526">
                  <w:marLeft w:val="0"/>
                  <w:marRight w:val="0"/>
                  <w:marTop w:val="0"/>
                  <w:marBottom w:val="0"/>
                  <w:divBdr>
                    <w:top w:val="none" w:sz="0" w:space="0" w:color="auto"/>
                    <w:left w:val="none" w:sz="0" w:space="0" w:color="auto"/>
                    <w:bottom w:val="none" w:sz="0" w:space="0" w:color="auto"/>
                    <w:right w:val="none" w:sz="0" w:space="0" w:color="auto"/>
                  </w:divBdr>
                  <w:divsChild>
                    <w:div w:id="733621525">
                      <w:marLeft w:val="0"/>
                      <w:marRight w:val="103"/>
                      <w:marTop w:val="0"/>
                      <w:marBottom w:val="0"/>
                      <w:divBdr>
                        <w:top w:val="none" w:sz="0" w:space="0" w:color="auto"/>
                        <w:left w:val="none" w:sz="0" w:space="0" w:color="auto"/>
                        <w:bottom w:val="none" w:sz="0" w:space="0" w:color="auto"/>
                        <w:right w:val="none" w:sz="0" w:space="0" w:color="auto"/>
                      </w:divBdr>
                      <w:divsChild>
                        <w:div w:id="927662862">
                          <w:marLeft w:val="0"/>
                          <w:marRight w:val="0"/>
                          <w:marTop w:val="0"/>
                          <w:marBottom w:val="0"/>
                          <w:divBdr>
                            <w:top w:val="none" w:sz="0" w:space="0" w:color="auto"/>
                            <w:left w:val="none" w:sz="0" w:space="0" w:color="auto"/>
                            <w:bottom w:val="none" w:sz="0" w:space="0" w:color="auto"/>
                            <w:right w:val="none" w:sz="0" w:space="0" w:color="auto"/>
                          </w:divBdr>
                          <w:divsChild>
                            <w:div w:id="4441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09210">
                      <w:marLeft w:val="103"/>
                      <w:marRight w:val="0"/>
                      <w:marTop w:val="0"/>
                      <w:marBottom w:val="0"/>
                      <w:divBdr>
                        <w:top w:val="none" w:sz="0" w:space="0" w:color="auto"/>
                        <w:left w:val="none" w:sz="0" w:space="0" w:color="auto"/>
                        <w:bottom w:val="none" w:sz="0" w:space="0" w:color="auto"/>
                        <w:right w:val="none" w:sz="0" w:space="0" w:color="auto"/>
                      </w:divBdr>
                      <w:divsChild>
                        <w:div w:id="386220744">
                          <w:marLeft w:val="0"/>
                          <w:marRight w:val="0"/>
                          <w:marTop w:val="0"/>
                          <w:marBottom w:val="0"/>
                          <w:divBdr>
                            <w:top w:val="none" w:sz="0" w:space="0" w:color="auto"/>
                            <w:left w:val="none" w:sz="0" w:space="0" w:color="auto"/>
                            <w:bottom w:val="none" w:sz="0" w:space="0" w:color="auto"/>
                            <w:right w:val="none" w:sz="0" w:space="0" w:color="auto"/>
                          </w:divBdr>
                          <w:divsChild>
                            <w:div w:id="9873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270430">
          <w:marLeft w:val="0"/>
          <w:marRight w:val="0"/>
          <w:marTop w:val="0"/>
          <w:marBottom w:val="0"/>
          <w:divBdr>
            <w:top w:val="none" w:sz="0" w:space="0" w:color="auto"/>
            <w:left w:val="none" w:sz="0" w:space="0" w:color="auto"/>
            <w:bottom w:val="none" w:sz="0" w:space="0" w:color="auto"/>
            <w:right w:val="none" w:sz="0" w:space="0" w:color="auto"/>
          </w:divBdr>
        </w:div>
        <w:div w:id="797262227">
          <w:marLeft w:val="0"/>
          <w:marRight w:val="0"/>
          <w:marTop w:val="0"/>
          <w:marBottom w:val="0"/>
          <w:divBdr>
            <w:top w:val="none" w:sz="0" w:space="0" w:color="auto"/>
            <w:left w:val="none" w:sz="0" w:space="0" w:color="auto"/>
            <w:bottom w:val="none" w:sz="0" w:space="0" w:color="auto"/>
            <w:right w:val="none" w:sz="0" w:space="0" w:color="auto"/>
          </w:divBdr>
        </w:div>
        <w:div w:id="1015421196">
          <w:marLeft w:val="0"/>
          <w:marRight w:val="0"/>
          <w:marTop w:val="0"/>
          <w:marBottom w:val="0"/>
          <w:divBdr>
            <w:top w:val="none" w:sz="0" w:space="0" w:color="auto"/>
            <w:left w:val="none" w:sz="0" w:space="0" w:color="auto"/>
            <w:bottom w:val="none" w:sz="0" w:space="0" w:color="auto"/>
            <w:right w:val="none" w:sz="0" w:space="0" w:color="auto"/>
          </w:divBdr>
        </w:div>
        <w:div w:id="2113165987">
          <w:marLeft w:val="0"/>
          <w:marRight w:val="0"/>
          <w:marTop w:val="0"/>
          <w:marBottom w:val="0"/>
          <w:divBdr>
            <w:top w:val="none" w:sz="0" w:space="0" w:color="auto"/>
            <w:left w:val="none" w:sz="0" w:space="0" w:color="auto"/>
            <w:bottom w:val="none" w:sz="0" w:space="0" w:color="auto"/>
            <w:right w:val="none" w:sz="0" w:space="0" w:color="auto"/>
          </w:divBdr>
        </w:div>
        <w:div w:id="1386486486">
          <w:marLeft w:val="0"/>
          <w:marRight w:val="0"/>
          <w:marTop w:val="0"/>
          <w:marBottom w:val="0"/>
          <w:divBdr>
            <w:top w:val="none" w:sz="0" w:space="0" w:color="auto"/>
            <w:left w:val="none" w:sz="0" w:space="0" w:color="auto"/>
            <w:bottom w:val="none" w:sz="0" w:space="0" w:color="auto"/>
            <w:right w:val="none" w:sz="0" w:space="0" w:color="auto"/>
          </w:divBdr>
          <w:divsChild>
            <w:div w:id="1857235786">
              <w:marLeft w:val="0"/>
              <w:marRight w:val="0"/>
              <w:marTop w:val="0"/>
              <w:marBottom w:val="0"/>
              <w:divBdr>
                <w:top w:val="none" w:sz="0" w:space="0" w:color="auto"/>
                <w:left w:val="none" w:sz="0" w:space="0" w:color="auto"/>
                <w:bottom w:val="none" w:sz="0" w:space="0" w:color="auto"/>
                <w:right w:val="none" w:sz="0" w:space="0" w:color="auto"/>
              </w:divBdr>
            </w:div>
          </w:divsChild>
        </w:div>
        <w:div w:id="632760078">
          <w:marLeft w:val="0"/>
          <w:marRight w:val="0"/>
          <w:marTop w:val="0"/>
          <w:marBottom w:val="300"/>
          <w:divBdr>
            <w:top w:val="none" w:sz="0" w:space="0" w:color="auto"/>
            <w:left w:val="none" w:sz="0" w:space="0" w:color="auto"/>
            <w:bottom w:val="none" w:sz="0" w:space="0" w:color="auto"/>
            <w:right w:val="none" w:sz="0" w:space="0" w:color="auto"/>
          </w:divBdr>
          <w:divsChild>
            <w:div w:id="1204444244">
              <w:marLeft w:val="0"/>
              <w:marRight w:val="0"/>
              <w:marTop w:val="0"/>
              <w:marBottom w:val="0"/>
              <w:divBdr>
                <w:top w:val="none" w:sz="0" w:space="0" w:color="auto"/>
                <w:left w:val="none" w:sz="0" w:space="0" w:color="auto"/>
                <w:bottom w:val="none" w:sz="0" w:space="0" w:color="auto"/>
                <w:right w:val="none" w:sz="0" w:space="0" w:color="auto"/>
              </w:divBdr>
              <w:divsChild>
                <w:div w:id="241066663">
                  <w:marLeft w:val="0"/>
                  <w:marRight w:val="0"/>
                  <w:marTop w:val="0"/>
                  <w:marBottom w:val="0"/>
                  <w:divBdr>
                    <w:top w:val="none" w:sz="0" w:space="0" w:color="auto"/>
                    <w:left w:val="none" w:sz="0" w:space="0" w:color="auto"/>
                    <w:bottom w:val="none" w:sz="0" w:space="0" w:color="auto"/>
                    <w:right w:val="none" w:sz="0" w:space="0" w:color="auto"/>
                  </w:divBdr>
                  <w:divsChild>
                    <w:div w:id="392697909">
                      <w:marLeft w:val="0"/>
                      <w:marRight w:val="103"/>
                      <w:marTop w:val="0"/>
                      <w:marBottom w:val="0"/>
                      <w:divBdr>
                        <w:top w:val="none" w:sz="0" w:space="0" w:color="auto"/>
                        <w:left w:val="none" w:sz="0" w:space="0" w:color="auto"/>
                        <w:bottom w:val="none" w:sz="0" w:space="0" w:color="auto"/>
                        <w:right w:val="none" w:sz="0" w:space="0" w:color="auto"/>
                      </w:divBdr>
                      <w:divsChild>
                        <w:div w:id="1154102056">
                          <w:marLeft w:val="0"/>
                          <w:marRight w:val="0"/>
                          <w:marTop w:val="0"/>
                          <w:marBottom w:val="0"/>
                          <w:divBdr>
                            <w:top w:val="none" w:sz="0" w:space="0" w:color="auto"/>
                            <w:left w:val="none" w:sz="0" w:space="0" w:color="auto"/>
                            <w:bottom w:val="none" w:sz="0" w:space="0" w:color="auto"/>
                            <w:right w:val="none" w:sz="0" w:space="0" w:color="auto"/>
                          </w:divBdr>
                          <w:divsChild>
                            <w:div w:id="15036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1292">
                      <w:marLeft w:val="103"/>
                      <w:marRight w:val="0"/>
                      <w:marTop w:val="0"/>
                      <w:marBottom w:val="0"/>
                      <w:divBdr>
                        <w:top w:val="none" w:sz="0" w:space="0" w:color="auto"/>
                        <w:left w:val="none" w:sz="0" w:space="0" w:color="auto"/>
                        <w:bottom w:val="none" w:sz="0" w:space="0" w:color="auto"/>
                        <w:right w:val="none" w:sz="0" w:space="0" w:color="auto"/>
                      </w:divBdr>
                      <w:divsChild>
                        <w:div w:id="1438208440">
                          <w:marLeft w:val="0"/>
                          <w:marRight w:val="0"/>
                          <w:marTop w:val="0"/>
                          <w:marBottom w:val="0"/>
                          <w:divBdr>
                            <w:top w:val="none" w:sz="0" w:space="0" w:color="auto"/>
                            <w:left w:val="none" w:sz="0" w:space="0" w:color="auto"/>
                            <w:bottom w:val="none" w:sz="0" w:space="0" w:color="auto"/>
                            <w:right w:val="none" w:sz="0" w:space="0" w:color="auto"/>
                          </w:divBdr>
                          <w:divsChild>
                            <w:div w:id="3809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817454">
          <w:marLeft w:val="0"/>
          <w:marRight w:val="0"/>
          <w:marTop w:val="0"/>
          <w:marBottom w:val="0"/>
          <w:divBdr>
            <w:top w:val="none" w:sz="0" w:space="0" w:color="auto"/>
            <w:left w:val="none" w:sz="0" w:space="0" w:color="auto"/>
            <w:bottom w:val="none" w:sz="0" w:space="0" w:color="auto"/>
            <w:right w:val="none" w:sz="0" w:space="0" w:color="auto"/>
          </w:divBdr>
        </w:div>
        <w:div w:id="14431624">
          <w:marLeft w:val="0"/>
          <w:marRight w:val="0"/>
          <w:marTop w:val="0"/>
          <w:marBottom w:val="0"/>
          <w:divBdr>
            <w:top w:val="none" w:sz="0" w:space="0" w:color="auto"/>
            <w:left w:val="none" w:sz="0" w:space="0" w:color="auto"/>
            <w:bottom w:val="none" w:sz="0" w:space="0" w:color="auto"/>
            <w:right w:val="none" w:sz="0" w:space="0" w:color="auto"/>
          </w:divBdr>
        </w:div>
        <w:div w:id="883249436">
          <w:marLeft w:val="0"/>
          <w:marRight w:val="0"/>
          <w:marTop w:val="0"/>
          <w:marBottom w:val="0"/>
          <w:divBdr>
            <w:top w:val="none" w:sz="0" w:space="0" w:color="auto"/>
            <w:left w:val="none" w:sz="0" w:space="0" w:color="auto"/>
            <w:bottom w:val="none" w:sz="0" w:space="0" w:color="auto"/>
            <w:right w:val="none" w:sz="0" w:space="0" w:color="auto"/>
          </w:divBdr>
        </w:div>
        <w:div w:id="1326208044">
          <w:marLeft w:val="0"/>
          <w:marRight w:val="0"/>
          <w:marTop w:val="0"/>
          <w:marBottom w:val="0"/>
          <w:divBdr>
            <w:top w:val="none" w:sz="0" w:space="0" w:color="auto"/>
            <w:left w:val="none" w:sz="0" w:space="0" w:color="auto"/>
            <w:bottom w:val="none" w:sz="0" w:space="0" w:color="auto"/>
            <w:right w:val="none" w:sz="0" w:space="0" w:color="auto"/>
          </w:divBdr>
        </w:div>
        <w:div w:id="912398239">
          <w:marLeft w:val="0"/>
          <w:marRight w:val="0"/>
          <w:marTop w:val="0"/>
          <w:marBottom w:val="0"/>
          <w:divBdr>
            <w:top w:val="none" w:sz="0" w:space="0" w:color="auto"/>
            <w:left w:val="none" w:sz="0" w:space="0" w:color="auto"/>
            <w:bottom w:val="none" w:sz="0" w:space="0" w:color="auto"/>
            <w:right w:val="none" w:sz="0" w:space="0" w:color="auto"/>
          </w:divBdr>
        </w:div>
        <w:div w:id="1071586201">
          <w:marLeft w:val="0"/>
          <w:marRight w:val="0"/>
          <w:marTop w:val="0"/>
          <w:marBottom w:val="0"/>
          <w:divBdr>
            <w:top w:val="none" w:sz="0" w:space="0" w:color="auto"/>
            <w:left w:val="none" w:sz="0" w:space="0" w:color="auto"/>
            <w:bottom w:val="none" w:sz="0" w:space="0" w:color="auto"/>
            <w:right w:val="none" w:sz="0" w:space="0" w:color="auto"/>
          </w:divBdr>
        </w:div>
        <w:div w:id="1307589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o.mbl.co.jp/bio/e/product/tag/exuse/pull-down-assay.html"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www.thermofisher.com/order/catalog/product/21658"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www.thermofisher.com/eg/en/home/life-science/protein-biology/protein-biology-learning-center/protein-biology-resource-library/pierce-protein-methods/chromatin-ip-chip-assays.html" TargetMode="External"/><Relationship Id="rId42" Type="http://schemas.openxmlformats.org/officeDocument/2006/relationships/hyperlink" Target="https://www.thermofisher.com/eg/en/home/life-science/protein-biology/protein-biology-learning-center/protein-biology-resource-library/pierce-protein-methods/immunoprecipitation-ip.html"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thermofisher.com/order/catalog/product/12027" TargetMode="External"/><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ruo.mbl.co.jp/bio/e/product/tag/pickup/smart-ip.html" TargetMode="External"/><Relationship Id="rId20" Type="http://schemas.openxmlformats.org/officeDocument/2006/relationships/image" Target="media/image12.png"/><Relationship Id="rId29" Type="http://schemas.openxmlformats.org/officeDocument/2006/relationships/hyperlink" Target="https://www.thermofisher.com/eg/en/home/life-science/protein-biology/protein-assays-analysis/immunoprecipitation.html" TargetMode="External"/><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https://www.thermofisher.com/order/catalog/product/12322D" TargetMode="External"/><Relationship Id="rId37" Type="http://schemas.openxmlformats.org/officeDocument/2006/relationships/image" Target="media/image22.jpeg"/><Relationship Id="rId40" Type="http://schemas.openxmlformats.org/officeDocument/2006/relationships/hyperlink" Target="https://www.thermofisher.com/order/catalog/product/21585"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www.thermofisher.com/order/catalog/product/12321D"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ruo.mbl.co.jp/bio/e/product/tag/exuse/pull-down-assay.html" TargetMode="External"/><Relationship Id="rId30" Type="http://schemas.openxmlformats.org/officeDocument/2006/relationships/image" Target="media/image20.jpeg"/><Relationship Id="rId35" Type="http://schemas.openxmlformats.org/officeDocument/2006/relationships/hyperlink" Target="https://www.thermofisher.com/eg/en/home/life-science/protein-biology/protein-biology-learning-center/protein-biology-resource-library/pierce-protein-methods/immunoprecipitation-ip.html"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20</Pages>
  <Words>5242</Words>
  <Characters>29882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sata lap</dc:creator>
  <cp:keywords/>
  <dc:description/>
  <cp:lastModifiedBy>sata lap</cp:lastModifiedBy>
  <cp:revision>14</cp:revision>
  <dcterms:created xsi:type="dcterms:W3CDTF">2019-03-25T08:51:00Z</dcterms:created>
  <dcterms:modified xsi:type="dcterms:W3CDTF">2019-03-25T14:01:00Z</dcterms:modified>
</cp:coreProperties>
</file>